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07E35" w14:textId="77777777" w:rsidR="009205C8" w:rsidRPr="00724947" w:rsidRDefault="009205C8" w:rsidP="00771595">
      <w:pPr>
        <w:jc w:val="both"/>
        <w:rPr>
          <w:rFonts w:ascii="Garamond" w:hAnsi="Garamond"/>
          <w:b/>
          <w:sz w:val="28"/>
          <w:szCs w:val="28"/>
        </w:rPr>
      </w:pPr>
      <w:r w:rsidRPr="00724947">
        <w:rPr>
          <w:rFonts w:ascii="Garamond" w:hAnsi="Garamond"/>
          <w:b/>
          <w:sz w:val="28"/>
          <w:szCs w:val="28"/>
        </w:rPr>
        <w:t>The UK Supreme Court in the United Kingdom Constitution</w:t>
      </w:r>
    </w:p>
    <w:p w14:paraId="2199EF93" w14:textId="77777777" w:rsidR="00771595" w:rsidRPr="00724947" w:rsidRDefault="00771595" w:rsidP="00771595">
      <w:pPr>
        <w:jc w:val="both"/>
        <w:rPr>
          <w:rFonts w:ascii="Garamond" w:hAnsi="Garamond"/>
          <w:b/>
          <w:sz w:val="28"/>
          <w:szCs w:val="28"/>
        </w:rPr>
      </w:pPr>
    </w:p>
    <w:p w14:paraId="7C95D8E3" w14:textId="1E3D8067" w:rsidR="00771595" w:rsidRPr="00724947" w:rsidRDefault="00771595" w:rsidP="00771595">
      <w:pPr>
        <w:jc w:val="both"/>
        <w:rPr>
          <w:rFonts w:ascii="Garamond" w:hAnsi="Garamond"/>
          <w:b/>
          <w:sz w:val="28"/>
          <w:szCs w:val="28"/>
        </w:rPr>
      </w:pPr>
      <w:r w:rsidRPr="00724947">
        <w:rPr>
          <w:rFonts w:ascii="Garamond" w:hAnsi="Garamond"/>
          <w:b/>
          <w:sz w:val="28"/>
          <w:szCs w:val="28"/>
        </w:rPr>
        <w:t xml:space="preserve">Inaugural lecture at the </w:t>
      </w:r>
      <w:r w:rsidR="00624609">
        <w:rPr>
          <w:rFonts w:ascii="Garamond" w:hAnsi="Garamond"/>
          <w:b/>
          <w:sz w:val="28"/>
          <w:szCs w:val="28"/>
        </w:rPr>
        <w:t>Institute</w:t>
      </w:r>
      <w:r w:rsidRPr="00724947">
        <w:rPr>
          <w:rFonts w:ascii="Garamond" w:hAnsi="Garamond"/>
          <w:b/>
          <w:sz w:val="28"/>
          <w:szCs w:val="28"/>
        </w:rPr>
        <w:t xml:space="preserve"> for Legal and Constitutional Research, University of St Andrews</w:t>
      </w:r>
    </w:p>
    <w:p w14:paraId="770B1EA8" w14:textId="77777777" w:rsidR="00771595" w:rsidRPr="00724947" w:rsidRDefault="00771595" w:rsidP="00771595">
      <w:pPr>
        <w:pStyle w:val="Heading1"/>
        <w:numPr>
          <w:ilvl w:val="0"/>
          <w:numId w:val="0"/>
        </w:numPr>
        <w:spacing w:before="0" w:after="0"/>
        <w:jc w:val="both"/>
        <w:rPr>
          <w:rFonts w:ascii="Garamond" w:hAnsi="Garamond" w:cs="Times New Roman"/>
          <w:sz w:val="28"/>
          <w:szCs w:val="28"/>
          <w:lang w:val="en-AU"/>
        </w:rPr>
      </w:pPr>
      <w:bookmarkStart w:id="0" w:name="_GoBack"/>
      <w:bookmarkEnd w:id="0"/>
    </w:p>
    <w:p w14:paraId="2D68BFCA" w14:textId="1F26EEC3" w:rsidR="007146E4" w:rsidRPr="00724947" w:rsidRDefault="006A78E8" w:rsidP="00771595">
      <w:pPr>
        <w:pStyle w:val="Heading1"/>
        <w:numPr>
          <w:ilvl w:val="0"/>
          <w:numId w:val="0"/>
        </w:numPr>
        <w:spacing w:before="0" w:after="0"/>
        <w:jc w:val="both"/>
        <w:rPr>
          <w:rFonts w:ascii="Garamond" w:hAnsi="Garamond" w:cs="Times New Roman"/>
          <w:sz w:val="28"/>
          <w:szCs w:val="28"/>
          <w:lang w:val="en-AU"/>
        </w:rPr>
      </w:pPr>
      <w:r w:rsidRPr="00724947">
        <w:rPr>
          <w:rFonts w:ascii="Garamond" w:hAnsi="Garamond" w:cs="Times New Roman"/>
          <w:sz w:val="28"/>
          <w:szCs w:val="28"/>
          <w:lang w:val="en-AU"/>
        </w:rPr>
        <w:t>Lady Hale</w:t>
      </w:r>
      <w:r w:rsidR="00771595" w:rsidRPr="00724947">
        <w:rPr>
          <w:rFonts w:ascii="Garamond" w:hAnsi="Garamond" w:cs="Times New Roman"/>
          <w:sz w:val="28"/>
          <w:szCs w:val="28"/>
          <w:lang w:val="en-AU"/>
        </w:rPr>
        <w:t>, Deputy President of the Supreme Court</w:t>
      </w:r>
      <w:r w:rsidR="0040459A" w:rsidRPr="00724947">
        <w:rPr>
          <w:rStyle w:val="FootnoteReference"/>
          <w:rFonts w:ascii="Garamond" w:hAnsi="Garamond" w:cs="Times New Roman"/>
          <w:sz w:val="28"/>
          <w:szCs w:val="28"/>
          <w:lang w:val="en-AU"/>
        </w:rPr>
        <w:footnoteReference w:customMarkFollows="1" w:id="2"/>
        <w:t>*</w:t>
      </w:r>
    </w:p>
    <w:p w14:paraId="2988900D" w14:textId="77777777" w:rsidR="00771595" w:rsidRPr="00724947" w:rsidRDefault="00771595" w:rsidP="00771595">
      <w:pPr>
        <w:rPr>
          <w:b/>
          <w:lang w:val="en-AU" w:eastAsia="ja-JP"/>
        </w:rPr>
      </w:pPr>
    </w:p>
    <w:p w14:paraId="3FEDE00D" w14:textId="56815917" w:rsidR="00437C2D" w:rsidRPr="00724947" w:rsidRDefault="00771595" w:rsidP="00771595">
      <w:pPr>
        <w:jc w:val="both"/>
        <w:rPr>
          <w:rFonts w:ascii="Garamond" w:hAnsi="Garamond"/>
          <w:b/>
          <w:sz w:val="28"/>
          <w:szCs w:val="28"/>
        </w:rPr>
      </w:pPr>
      <w:r w:rsidRPr="00724947">
        <w:rPr>
          <w:rFonts w:ascii="Garamond" w:hAnsi="Garamond"/>
          <w:b/>
          <w:sz w:val="28"/>
          <w:szCs w:val="28"/>
        </w:rPr>
        <w:t>8 October 2015</w:t>
      </w:r>
    </w:p>
    <w:p w14:paraId="4E6A13AB" w14:textId="77777777" w:rsidR="00771595" w:rsidRPr="00724947" w:rsidRDefault="00771595" w:rsidP="00222A1D">
      <w:pPr>
        <w:spacing w:before="120" w:line="360" w:lineRule="auto"/>
        <w:jc w:val="both"/>
        <w:rPr>
          <w:rFonts w:ascii="Garamond" w:hAnsi="Garamond"/>
          <w:lang w:val="en-AU"/>
        </w:rPr>
      </w:pPr>
    </w:p>
    <w:p w14:paraId="4E7A2857" w14:textId="5B2CF5A5" w:rsidR="00637764" w:rsidRPr="00724947" w:rsidRDefault="00637764" w:rsidP="00222A1D">
      <w:pPr>
        <w:spacing w:before="120" w:line="360" w:lineRule="auto"/>
        <w:jc w:val="both"/>
        <w:rPr>
          <w:rFonts w:ascii="Garamond" w:hAnsi="Garamond"/>
        </w:rPr>
      </w:pPr>
      <w:r w:rsidRPr="00724947">
        <w:rPr>
          <w:rFonts w:ascii="Garamond" w:hAnsi="Garamond"/>
          <w:lang w:val="en-US"/>
        </w:rPr>
        <w:t xml:space="preserve">The Supreme Court </w:t>
      </w:r>
      <w:r w:rsidRPr="00724947">
        <w:rPr>
          <w:rFonts w:ascii="Garamond" w:hAnsi="Garamond"/>
        </w:rPr>
        <w:t>of</w:t>
      </w:r>
      <w:r w:rsidRPr="00724947">
        <w:rPr>
          <w:rFonts w:ascii="Garamond" w:hAnsi="Garamond"/>
          <w:lang w:val="en-US"/>
        </w:rPr>
        <w:t xml:space="preserve"> the United Kingdom </w:t>
      </w:r>
      <w:r w:rsidRPr="00724947">
        <w:rPr>
          <w:rFonts w:ascii="Garamond" w:hAnsi="Garamond"/>
        </w:rPr>
        <w:t xml:space="preserve">is not a constitutional court on continental lines. Countries with legal systems based on the continental European model, such as most of Europe, Latin America and parts of the Far East, all have constitutional courts which are separate from the ordinary law courts. These courts all have a power of what we call ‘abstract review’ – that is, a new or proposed law is referred to them, usually by politicians, to see whether it is consistent with the Constitution. Some also have what we call ‘concrete review’ – that is, the question can come up in the context of a real case involving real people. Some have exclusive jurisdiction, in the sense that they are the only court which can rule on the question, which therefore has to be referred to them </w:t>
      </w:r>
      <w:r w:rsidR="00A31DD9" w:rsidRPr="00724947">
        <w:rPr>
          <w:rFonts w:ascii="Garamond" w:hAnsi="Garamond"/>
        </w:rPr>
        <w:t>if it comes up in an</w:t>
      </w:r>
      <w:r w:rsidRPr="00724947">
        <w:rPr>
          <w:rFonts w:ascii="Garamond" w:hAnsi="Garamond"/>
        </w:rPr>
        <w:t xml:space="preserve"> ordinary court. This is to preserve the democratic legitimacy of the laws – the laws passed by Parliament cannot be called in question in the ordinary courts, but only in this separate body with its specialist expertise and political legitimacy. In Germany, for example, the judges are nominated by the political parties in proportion to the</w:t>
      </w:r>
      <w:r w:rsidR="00A31DD9" w:rsidRPr="00724947">
        <w:rPr>
          <w:rFonts w:ascii="Garamond" w:hAnsi="Garamond"/>
        </w:rPr>
        <w:t>ir popular support</w:t>
      </w:r>
      <w:r w:rsidRPr="00724947">
        <w:rPr>
          <w:rFonts w:ascii="Garamond" w:hAnsi="Garamond"/>
        </w:rPr>
        <w:t>.</w:t>
      </w:r>
      <w:r w:rsidR="00F121CF" w:rsidRPr="00724947">
        <w:rPr>
          <w:rStyle w:val="FootnoteReference"/>
          <w:rFonts w:ascii="Garamond" w:hAnsi="Garamond"/>
        </w:rPr>
        <w:footnoteReference w:id="3"/>
      </w:r>
      <w:r w:rsidRPr="00724947">
        <w:rPr>
          <w:rFonts w:ascii="Garamond" w:hAnsi="Garamond"/>
        </w:rPr>
        <w:t xml:space="preserve"> (Incidentally, these continental constitutional courts all have a more varied composition, including a healthy sprinkling of Law Professors, than the top courts in common law countries tend to have). </w:t>
      </w:r>
    </w:p>
    <w:p w14:paraId="16B0F2B6" w14:textId="420FF7CE" w:rsidR="00637764" w:rsidRPr="00724947" w:rsidRDefault="00637764" w:rsidP="00222A1D">
      <w:pPr>
        <w:spacing w:before="120" w:line="360" w:lineRule="auto"/>
        <w:jc w:val="both"/>
        <w:rPr>
          <w:rFonts w:ascii="Garamond" w:hAnsi="Garamond"/>
        </w:rPr>
      </w:pPr>
      <w:r w:rsidRPr="00724947">
        <w:rPr>
          <w:rFonts w:ascii="Garamond" w:hAnsi="Garamond"/>
        </w:rPr>
        <w:t xml:space="preserve">Countries with legal systems based on the Anglo-American </w:t>
      </w:r>
      <w:r w:rsidR="00A31DD9" w:rsidRPr="00724947">
        <w:rPr>
          <w:rFonts w:ascii="Garamond" w:hAnsi="Garamond"/>
        </w:rPr>
        <w:t xml:space="preserve">common law </w:t>
      </w:r>
      <w:r w:rsidRPr="00724947">
        <w:rPr>
          <w:rFonts w:ascii="Garamond" w:hAnsi="Garamond"/>
        </w:rPr>
        <w:t>model</w:t>
      </w:r>
      <w:r w:rsidR="00AE3FBD" w:rsidRPr="00724947">
        <w:rPr>
          <w:rFonts w:ascii="Garamond" w:hAnsi="Garamond"/>
        </w:rPr>
        <w:t xml:space="preserve"> by contrast</w:t>
      </w:r>
      <w:r w:rsidRPr="00724947">
        <w:rPr>
          <w:rFonts w:ascii="Garamond" w:hAnsi="Garamond"/>
        </w:rPr>
        <w:t xml:space="preserve">, which is most of the English-speaking world as well as the Indian sub-continent and </w:t>
      </w:r>
      <w:r w:rsidR="00F531CB" w:rsidRPr="00724947">
        <w:rPr>
          <w:rFonts w:ascii="Garamond" w:hAnsi="Garamond"/>
        </w:rPr>
        <w:t>Israel;</w:t>
      </w:r>
      <w:r w:rsidRPr="00724947">
        <w:rPr>
          <w:rFonts w:ascii="Garamond" w:hAnsi="Garamond"/>
        </w:rPr>
        <w:t xml:space="preserve"> do not have separate constitutional courts. Almost all of them have written constitutions which provide, either expressly or by necessary implication, for judicial review of the constitutionality of </w:t>
      </w:r>
      <w:r w:rsidR="00A31DD9" w:rsidRPr="00724947">
        <w:rPr>
          <w:rFonts w:ascii="Garamond" w:hAnsi="Garamond"/>
        </w:rPr>
        <w:t>the</w:t>
      </w:r>
      <w:r w:rsidRPr="00724947">
        <w:rPr>
          <w:rFonts w:ascii="Garamond" w:hAnsi="Garamond"/>
        </w:rPr>
        <w:t xml:space="preserve"> law</w:t>
      </w:r>
      <w:r w:rsidR="00A31DD9" w:rsidRPr="00724947">
        <w:rPr>
          <w:rFonts w:ascii="Garamond" w:hAnsi="Garamond"/>
        </w:rPr>
        <w:t>s passed by Parliament. The C</w:t>
      </w:r>
      <w:r w:rsidRPr="00724947">
        <w:rPr>
          <w:rFonts w:ascii="Garamond" w:hAnsi="Garamond"/>
        </w:rPr>
        <w:t>onstitution of the United States of America</w:t>
      </w:r>
      <w:r w:rsidR="00AE3FBD" w:rsidRPr="00724947">
        <w:rPr>
          <w:rFonts w:ascii="Garamond" w:hAnsi="Garamond"/>
        </w:rPr>
        <w:t xml:space="preserve"> for example</w:t>
      </w:r>
      <w:r w:rsidRPr="00724947">
        <w:rPr>
          <w:rFonts w:ascii="Garamond" w:hAnsi="Garamond"/>
        </w:rPr>
        <w:t xml:space="preserve">, dating back to 1787, does not in so many words give the Supreme Court power to strike down Acts of </w:t>
      </w:r>
      <w:r w:rsidR="00A31DD9" w:rsidRPr="00724947">
        <w:rPr>
          <w:rFonts w:ascii="Garamond" w:hAnsi="Garamond"/>
        </w:rPr>
        <w:t xml:space="preserve">the federal </w:t>
      </w:r>
      <w:r w:rsidRPr="00724947">
        <w:rPr>
          <w:rFonts w:ascii="Garamond" w:hAnsi="Garamond"/>
        </w:rPr>
        <w:t xml:space="preserve">Congress, as opposed to Acts of the state legislatures. But the Supreme Court very soon held, in </w:t>
      </w:r>
      <w:proofErr w:type="spellStart"/>
      <w:r w:rsidRPr="00724947">
        <w:rPr>
          <w:rFonts w:ascii="Garamond" w:hAnsi="Garamond"/>
          <w:i/>
        </w:rPr>
        <w:t>Marbury</w:t>
      </w:r>
      <w:proofErr w:type="spellEnd"/>
      <w:r w:rsidRPr="00724947">
        <w:rPr>
          <w:rFonts w:ascii="Garamond" w:hAnsi="Garamond"/>
          <w:i/>
        </w:rPr>
        <w:t xml:space="preserve"> v Madison,</w:t>
      </w:r>
      <w:r w:rsidRPr="00724947">
        <w:rPr>
          <w:rStyle w:val="FootnoteReference"/>
          <w:rFonts w:ascii="Garamond" w:hAnsi="Garamond"/>
        </w:rPr>
        <w:footnoteReference w:id="4"/>
      </w:r>
      <w:r w:rsidRPr="00724947">
        <w:rPr>
          <w:rFonts w:ascii="Garamond" w:hAnsi="Garamond"/>
        </w:rPr>
        <w:t xml:space="preserve"> that this was a necessary incident of a constitution which limited the legislature’s powers. More modern constitutions make this explicit. A few also have a version of continental style abstract review. In Canada and Ireland, </w:t>
      </w:r>
      <w:r w:rsidRPr="00724947">
        <w:rPr>
          <w:rFonts w:ascii="Garamond" w:hAnsi="Garamond"/>
        </w:rPr>
        <w:lastRenderedPageBreak/>
        <w:t>for example, proposed legislation can be referred to the Supreme Court for an opinion on whether it would be constitutional.</w:t>
      </w:r>
      <w:r w:rsidR="00AE3FBD" w:rsidRPr="00724947">
        <w:rPr>
          <w:rStyle w:val="FootnoteReference"/>
          <w:rFonts w:ascii="Garamond" w:hAnsi="Garamond"/>
        </w:rPr>
        <w:footnoteReference w:id="5"/>
      </w:r>
      <w:r w:rsidRPr="00724947">
        <w:rPr>
          <w:rFonts w:ascii="Garamond" w:hAnsi="Garamond"/>
        </w:rPr>
        <w:t xml:space="preserve"> But most involve concrete review, </w:t>
      </w:r>
      <w:r w:rsidR="00A31DD9" w:rsidRPr="00724947">
        <w:rPr>
          <w:rFonts w:ascii="Garamond" w:hAnsi="Garamond"/>
        </w:rPr>
        <w:t xml:space="preserve">where </w:t>
      </w:r>
      <w:r w:rsidRPr="00724947">
        <w:rPr>
          <w:rFonts w:ascii="Garamond" w:hAnsi="Garamond"/>
        </w:rPr>
        <w:t>the issue of constitutionality aris</w:t>
      </w:r>
      <w:r w:rsidR="00A31DD9" w:rsidRPr="00724947">
        <w:rPr>
          <w:rFonts w:ascii="Garamond" w:hAnsi="Garamond"/>
        </w:rPr>
        <w:t>es</w:t>
      </w:r>
      <w:r w:rsidRPr="00724947">
        <w:rPr>
          <w:rFonts w:ascii="Garamond" w:hAnsi="Garamond"/>
        </w:rPr>
        <w:t xml:space="preserve"> in the context of a real case about real people; and </w:t>
      </w:r>
      <w:r w:rsidR="00A31DD9" w:rsidRPr="00724947">
        <w:rPr>
          <w:rFonts w:ascii="Garamond" w:hAnsi="Garamond"/>
        </w:rPr>
        <w:t>it</w:t>
      </w:r>
      <w:r w:rsidRPr="00724947">
        <w:rPr>
          <w:rFonts w:ascii="Garamond" w:hAnsi="Garamond"/>
        </w:rPr>
        <w:t xml:space="preserve"> comes before the ordinary courts of the land, rather than a separate specialist body.</w:t>
      </w:r>
    </w:p>
    <w:p w14:paraId="4068DC80" w14:textId="565DA10F" w:rsidR="00EF75BA" w:rsidRPr="00724947" w:rsidRDefault="00637764" w:rsidP="00222A1D">
      <w:pPr>
        <w:pStyle w:val="NoSpacing"/>
        <w:spacing w:before="120" w:line="360" w:lineRule="auto"/>
        <w:jc w:val="both"/>
        <w:rPr>
          <w:rFonts w:ascii="Garamond" w:hAnsi="Garamond" w:cs="Times New Roman"/>
          <w:sz w:val="24"/>
          <w:szCs w:val="24"/>
        </w:rPr>
      </w:pPr>
      <w:r w:rsidRPr="00724947">
        <w:rPr>
          <w:rFonts w:ascii="Garamond" w:hAnsi="Garamond" w:cs="Times New Roman"/>
          <w:sz w:val="24"/>
          <w:szCs w:val="24"/>
        </w:rPr>
        <w:t>When the United Kingdom Supreme Court was set up in 2009, there were some who wondered whether we might eventually evolve into a US or Canadian style Supreme Court.</w:t>
      </w:r>
      <w:r w:rsidR="00F121CF" w:rsidRPr="00724947">
        <w:rPr>
          <w:rStyle w:val="FootnoteReference"/>
          <w:rFonts w:ascii="Garamond" w:hAnsi="Garamond" w:cs="Times New Roman"/>
          <w:sz w:val="24"/>
          <w:szCs w:val="24"/>
        </w:rPr>
        <w:footnoteReference w:id="6"/>
      </w:r>
      <w:r w:rsidRPr="00724947">
        <w:rPr>
          <w:rFonts w:ascii="Garamond" w:hAnsi="Garamond" w:cs="Times New Roman"/>
          <w:sz w:val="24"/>
          <w:szCs w:val="24"/>
        </w:rPr>
        <w:t xml:space="preserve"> But how could we do that without a written Constitution against which the validity of the laws passed by Parliament can be judged? This is not to say that the United Kingdom does not have a Constitution. Of course it does. But it is not enshrined in a written document which has a special and superior legal status and cannot readily be changed.</w:t>
      </w:r>
      <w:r w:rsidR="00FC3F57" w:rsidRPr="00724947">
        <w:rPr>
          <w:rFonts w:ascii="Garamond" w:hAnsi="Garamond" w:cs="Times New Roman"/>
          <w:sz w:val="24"/>
          <w:szCs w:val="24"/>
        </w:rPr>
        <w:t xml:space="preserve"> </w:t>
      </w:r>
      <w:r w:rsidR="00E517B3" w:rsidRPr="00724947">
        <w:rPr>
          <w:rFonts w:ascii="Garamond" w:hAnsi="Garamond" w:cs="Times New Roman"/>
          <w:sz w:val="24"/>
          <w:szCs w:val="24"/>
        </w:rPr>
        <w:t>We constitutional lawyers were brought up to believ</w:t>
      </w:r>
      <w:r w:rsidRPr="00724947">
        <w:rPr>
          <w:rFonts w:ascii="Garamond" w:hAnsi="Garamond" w:cs="Times New Roman"/>
          <w:sz w:val="24"/>
          <w:szCs w:val="24"/>
        </w:rPr>
        <w:t xml:space="preserve">e that there were </w:t>
      </w:r>
      <w:r w:rsidR="00B51892" w:rsidRPr="00724947">
        <w:rPr>
          <w:rFonts w:ascii="Garamond" w:hAnsi="Garamond" w:cs="Times New Roman"/>
          <w:sz w:val="24"/>
          <w:szCs w:val="24"/>
        </w:rPr>
        <w:t>two</w:t>
      </w:r>
      <w:r w:rsidR="00A16AE3" w:rsidRPr="00724947">
        <w:rPr>
          <w:rFonts w:ascii="Garamond" w:hAnsi="Garamond" w:cs="Times New Roman"/>
          <w:sz w:val="24"/>
          <w:szCs w:val="24"/>
        </w:rPr>
        <w:t xml:space="preserve"> major planks </w:t>
      </w:r>
      <w:r w:rsidR="00A31DD9" w:rsidRPr="00724947">
        <w:rPr>
          <w:rFonts w:ascii="Garamond" w:hAnsi="Garamond" w:cs="Times New Roman"/>
          <w:sz w:val="24"/>
          <w:szCs w:val="24"/>
        </w:rPr>
        <w:t>in</w:t>
      </w:r>
      <w:r w:rsidR="00A16AE3" w:rsidRPr="00724947">
        <w:rPr>
          <w:rFonts w:ascii="Garamond" w:hAnsi="Garamond" w:cs="Times New Roman"/>
          <w:sz w:val="24"/>
          <w:szCs w:val="24"/>
        </w:rPr>
        <w:t xml:space="preserve"> </w:t>
      </w:r>
      <w:r w:rsidR="00E517B3" w:rsidRPr="00724947">
        <w:rPr>
          <w:rFonts w:ascii="Garamond" w:hAnsi="Garamond" w:cs="Times New Roman"/>
          <w:sz w:val="24"/>
          <w:szCs w:val="24"/>
        </w:rPr>
        <w:t xml:space="preserve">the </w:t>
      </w:r>
      <w:r w:rsidRPr="00724947">
        <w:rPr>
          <w:rFonts w:ascii="Garamond" w:hAnsi="Garamond" w:cs="Times New Roman"/>
          <w:sz w:val="24"/>
          <w:szCs w:val="24"/>
        </w:rPr>
        <w:t xml:space="preserve">United Kingdom’s </w:t>
      </w:r>
      <w:r w:rsidR="00A31DD9" w:rsidRPr="00724947">
        <w:rPr>
          <w:rFonts w:ascii="Garamond" w:hAnsi="Garamond" w:cs="Times New Roman"/>
          <w:sz w:val="24"/>
          <w:szCs w:val="24"/>
        </w:rPr>
        <w:t xml:space="preserve">unwritten </w:t>
      </w:r>
      <w:r w:rsidR="00A16AE3" w:rsidRPr="00724947">
        <w:rPr>
          <w:rFonts w:ascii="Garamond" w:hAnsi="Garamond" w:cs="Times New Roman"/>
          <w:sz w:val="24"/>
          <w:szCs w:val="24"/>
        </w:rPr>
        <w:t>Constitution</w:t>
      </w:r>
      <w:r w:rsidRPr="00724947">
        <w:rPr>
          <w:rFonts w:ascii="Garamond" w:hAnsi="Garamond" w:cs="Times New Roman"/>
          <w:sz w:val="24"/>
          <w:szCs w:val="24"/>
        </w:rPr>
        <w:t>:</w:t>
      </w:r>
      <w:r w:rsidR="009205C8" w:rsidRPr="00724947">
        <w:rPr>
          <w:rFonts w:ascii="Garamond" w:hAnsi="Garamond" w:cs="Times New Roman"/>
          <w:sz w:val="24"/>
          <w:szCs w:val="24"/>
        </w:rPr>
        <w:t xml:space="preserve"> </w:t>
      </w:r>
    </w:p>
    <w:p w14:paraId="44966879" w14:textId="5B9BE95D" w:rsidR="004D0378" w:rsidRPr="00724947" w:rsidRDefault="00E517B3" w:rsidP="00222A1D">
      <w:pPr>
        <w:pStyle w:val="NoSpacing"/>
        <w:numPr>
          <w:ilvl w:val="0"/>
          <w:numId w:val="3"/>
        </w:numPr>
        <w:spacing w:before="120" w:line="360" w:lineRule="auto"/>
        <w:jc w:val="both"/>
        <w:rPr>
          <w:rFonts w:ascii="Garamond" w:hAnsi="Garamond" w:cs="Times New Roman"/>
          <w:sz w:val="24"/>
          <w:szCs w:val="24"/>
        </w:rPr>
      </w:pPr>
      <w:r w:rsidRPr="00724947">
        <w:rPr>
          <w:rFonts w:ascii="Garamond" w:hAnsi="Garamond" w:cs="Times New Roman"/>
          <w:sz w:val="24"/>
          <w:szCs w:val="24"/>
        </w:rPr>
        <w:t xml:space="preserve">The Queen in </w:t>
      </w:r>
      <w:r w:rsidR="00071327" w:rsidRPr="00724947">
        <w:rPr>
          <w:rFonts w:ascii="Garamond" w:hAnsi="Garamond" w:cs="Times New Roman"/>
          <w:sz w:val="24"/>
          <w:szCs w:val="24"/>
        </w:rPr>
        <w:t xml:space="preserve">Parliament is sovereign and </w:t>
      </w:r>
      <w:r w:rsidR="004D0378" w:rsidRPr="00724947">
        <w:rPr>
          <w:rFonts w:ascii="Garamond" w:hAnsi="Garamond" w:cs="Times New Roman"/>
          <w:sz w:val="24"/>
          <w:szCs w:val="24"/>
        </w:rPr>
        <w:t>can make or unmake any law</w:t>
      </w:r>
      <w:r w:rsidRPr="00724947">
        <w:rPr>
          <w:rFonts w:ascii="Garamond" w:hAnsi="Garamond" w:cs="Times New Roman"/>
          <w:sz w:val="24"/>
          <w:szCs w:val="24"/>
        </w:rPr>
        <w:t xml:space="preserve">; </w:t>
      </w:r>
      <w:r w:rsidR="00071327" w:rsidRPr="00724947">
        <w:rPr>
          <w:rFonts w:ascii="Garamond" w:hAnsi="Garamond" w:cs="Times New Roman"/>
          <w:sz w:val="24"/>
          <w:szCs w:val="24"/>
        </w:rPr>
        <w:t>and</w:t>
      </w:r>
    </w:p>
    <w:p w14:paraId="3506E781" w14:textId="3957C531" w:rsidR="004D0378" w:rsidRPr="00724947" w:rsidRDefault="00E517B3" w:rsidP="00222A1D">
      <w:pPr>
        <w:pStyle w:val="NoSpacing"/>
        <w:numPr>
          <w:ilvl w:val="0"/>
          <w:numId w:val="3"/>
        </w:numPr>
        <w:spacing w:before="120" w:line="360" w:lineRule="auto"/>
        <w:jc w:val="both"/>
        <w:rPr>
          <w:rFonts w:ascii="Garamond" w:hAnsi="Garamond" w:cs="Times New Roman"/>
          <w:sz w:val="24"/>
          <w:szCs w:val="24"/>
        </w:rPr>
      </w:pPr>
      <w:r w:rsidRPr="00724947">
        <w:rPr>
          <w:rFonts w:ascii="Garamond" w:hAnsi="Garamond" w:cs="Times New Roman"/>
          <w:sz w:val="24"/>
          <w:szCs w:val="24"/>
        </w:rPr>
        <w:t xml:space="preserve">Both the governed and the governors are </w:t>
      </w:r>
      <w:r w:rsidR="00EF75BA" w:rsidRPr="00724947">
        <w:rPr>
          <w:rFonts w:ascii="Garamond" w:hAnsi="Garamond" w:cs="Times New Roman"/>
          <w:sz w:val="24"/>
          <w:szCs w:val="24"/>
        </w:rPr>
        <w:t xml:space="preserve">subject to the </w:t>
      </w:r>
      <w:r w:rsidRPr="00724947">
        <w:rPr>
          <w:rFonts w:ascii="Garamond" w:hAnsi="Garamond" w:cs="Times New Roman"/>
          <w:sz w:val="24"/>
          <w:szCs w:val="24"/>
        </w:rPr>
        <w:t>rule of law</w:t>
      </w:r>
      <w:r w:rsidR="00A31DD9" w:rsidRPr="00724947">
        <w:rPr>
          <w:rFonts w:ascii="Garamond" w:hAnsi="Garamond" w:cs="Times New Roman"/>
          <w:sz w:val="24"/>
          <w:szCs w:val="24"/>
        </w:rPr>
        <w:t>:</w:t>
      </w:r>
      <w:r w:rsidR="00455813" w:rsidRPr="00724947">
        <w:rPr>
          <w:rFonts w:ascii="Garamond" w:hAnsi="Garamond" w:cs="Times New Roman"/>
          <w:sz w:val="24"/>
          <w:szCs w:val="24"/>
        </w:rPr>
        <w:t xml:space="preserve"> </w:t>
      </w:r>
      <w:r w:rsidR="00051712" w:rsidRPr="00724947">
        <w:rPr>
          <w:rFonts w:ascii="Garamond" w:hAnsi="Garamond" w:cs="Times New Roman"/>
          <w:sz w:val="24"/>
          <w:szCs w:val="24"/>
        </w:rPr>
        <w:t>just as individuals and private ent</w:t>
      </w:r>
      <w:r w:rsidR="00A31DD9" w:rsidRPr="00724947">
        <w:rPr>
          <w:rFonts w:ascii="Garamond" w:hAnsi="Garamond" w:cs="Times New Roman"/>
          <w:sz w:val="24"/>
          <w:szCs w:val="24"/>
        </w:rPr>
        <w:t>ities</w:t>
      </w:r>
      <w:r w:rsidR="00051712" w:rsidRPr="00724947">
        <w:rPr>
          <w:rFonts w:ascii="Garamond" w:hAnsi="Garamond" w:cs="Times New Roman"/>
          <w:sz w:val="24"/>
          <w:szCs w:val="24"/>
        </w:rPr>
        <w:t xml:space="preserve"> must obey the law, so ministers, official</w:t>
      </w:r>
      <w:r w:rsidR="00A31DD9" w:rsidRPr="00724947">
        <w:rPr>
          <w:rFonts w:ascii="Garamond" w:hAnsi="Garamond" w:cs="Times New Roman"/>
          <w:sz w:val="24"/>
          <w:szCs w:val="24"/>
        </w:rPr>
        <w:t>s</w:t>
      </w:r>
      <w:r w:rsidR="00051712" w:rsidRPr="00724947">
        <w:rPr>
          <w:rFonts w:ascii="Garamond" w:hAnsi="Garamond" w:cs="Times New Roman"/>
          <w:sz w:val="24"/>
          <w:szCs w:val="24"/>
        </w:rPr>
        <w:t xml:space="preserve"> and </w:t>
      </w:r>
      <w:r w:rsidR="004D0378" w:rsidRPr="00724947">
        <w:rPr>
          <w:rFonts w:ascii="Garamond" w:hAnsi="Garamond" w:cs="Times New Roman"/>
          <w:sz w:val="24"/>
          <w:szCs w:val="24"/>
        </w:rPr>
        <w:t xml:space="preserve">public </w:t>
      </w:r>
      <w:r w:rsidRPr="00724947">
        <w:rPr>
          <w:rFonts w:ascii="Garamond" w:hAnsi="Garamond" w:cs="Times New Roman"/>
          <w:sz w:val="24"/>
          <w:szCs w:val="24"/>
        </w:rPr>
        <w:t>bodies</w:t>
      </w:r>
      <w:r w:rsidR="004D0378" w:rsidRPr="00724947">
        <w:rPr>
          <w:rFonts w:ascii="Garamond" w:hAnsi="Garamond" w:cs="Times New Roman"/>
          <w:sz w:val="24"/>
          <w:szCs w:val="24"/>
        </w:rPr>
        <w:t xml:space="preserve"> must act within the powers which the law has given them.</w:t>
      </w:r>
      <w:r w:rsidR="00500E83" w:rsidRPr="00724947">
        <w:rPr>
          <w:rStyle w:val="FootnoteReference"/>
          <w:rFonts w:ascii="Garamond" w:hAnsi="Garamond" w:cs="Times New Roman"/>
          <w:sz w:val="24"/>
          <w:szCs w:val="24"/>
        </w:rPr>
        <w:footnoteReference w:id="7"/>
      </w:r>
      <w:r w:rsidR="004D0378" w:rsidRPr="00724947">
        <w:rPr>
          <w:rFonts w:ascii="Garamond" w:hAnsi="Garamond" w:cs="Times New Roman"/>
          <w:sz w:val="24"/>
          <w:szCs w:val="24"/>
        </w:rPr>
        <w:t xml:space="preserve"> </w:t>
      </w:r>
    </w:p>
    <w:p w14:paraId="5EBE6E40" w14:textId="6346DD9F" w:rsidR="00EB6109" w:rsidRPr="00724947" w:rsidRDefault="00E517B3" w:rsidP="00222A1D">
      <w:pPr>
        <w:pStyle w:val="NoSpacing"/>
        <w:spacing w:before="120" w:line="360" w:lineRule="auto"/>
        <w:jc w:val="both"/>
        <w:rPr>
          <w:rFonts w:ascii="Garamond" w:hAnsi="Garamond" w:cs="Times New Roman"/>
          <w:sz w:val="24"/>
          <w:szCs w:val="24"/>
        </w:rPr>
      </w:pPr>
      <w:r w:rsidRPr="00724947">
        <w:rPr>
          <w:rFonts w:ascii="Garamond" w:hAnsi="Garamond" w:cs="Times New Roman"/>
          <w:sz w:val="24"/>
          <w:szCs w:val="24"/>
        </w:rPr>
        <w:t>These</w:t>
      </w:r>
      <w:r w:rsidR="00071327" w:rsidRPr="00724947">
        <w:rPr>
          <w:rFonts w:ascii="Garamond" w:hAnsi="Garamond" w:cs="Times New Roman"/>
          <w:sz w:val="24"/>
          <w:szCs w:val="24"/>
        </w:rPr>
        <w:t xml:space="preserve"> two principles are still the foundation of our Constitution. </w:t>
      </w:r>
      <w:r w:rsidR="00EF75BA" w:rsidRPr="00724947">
        <w:rPr>
          <w:rFonts w:ascii="Garamond" w:hAnsi="Garamond" w:cs="Times New Roman"/>
          <w:sz w:val="24"/>
          <w:szCs w:val="24"/>
        </w:rPr>
        <w:t xml:space="preserve">But </w:t>
      </w:r>
      <w:r w:rsidR="00637764" w:rsidRPr="00724947">
        <w:rPr>
          <w:rFonts w:ascii="Garamond" w:hAnsi="Garamond" w:cs="Times New Roman"/>
          <w:sz w:val="24"/>
          <w:szCs w:val="24"/>
        </w:rPr>
        <w:t>they have undergone some subtle changes since they were first articulated in the latter half of the 19</w:t>
      </w:r>
      <w:r w:rsidR="00637764" w:rsidRPr="00724947">
        <w:rPr>
          <w:rFonts w:ascii="Garamond" w:hAnsi="Garamond" w:cs="Times New Roman"/>
          <w:sz w:val="24"/>
          <w:szCs w:val="24"/>
          <w:vertAlign w:val="superscript"/>
        </w:rPr>
        <w:t>th</w:t>
      </w:r>
      <w:r w:rsidR="00637764" w:rsidRPr="00724947">
        <w:rPr>
          <w:rFonts w:ascii="Garamond" w:hAnsi="Garamond" w:cs="Times New Roman"/>
          <w:sz w:val="24"/>
          <w:szCs w:val="24"/>
        </w:rPr>
        <w:t xml:space="preserve"> century. </w:t>
      </w:r>
      <w:r w:rsidR="00051712" w:rsidRPr="00724947">
        <w:rPr>
          <w:rFonts w:ascii="Garamond" w:hAnsi="Garamond" w:cs="Times New Roman"/>
          <w:sz w:val="24"/>
          <w:szCs w:val="24"/>
        </w:rPr>
        <w:t>So</w:t>
      </w:r>
      <w:r w:rsidR="00A31DD9" w:rsidRPr="00724947">
        <w:rPr>
          <w:rFonts w:ascii="Garamond" w:hAnsi="Garamond" w:cs="Times New Roman"/>
          <w:sz w:val="24"/>
          <w:szCs w:val="24"/>
        </w:rPr>
        <w:t>, I want to ask</w:t>
      </w:r>
      <w:r w:rsidR="00051712" w:rsidRPr="00724947">
        <w:rPr>
          <w:rFonts w:ascii="Garamond" w:hAnsi="Garamond" w:cs="Times New Roman"/>
          <w:sz w:val="24"/>
          <w:szCs w:val="24"/>
        </w:rPr>
        <w:t>:</w:t>
      </w:r>
    </w:p>
    <w:p w14:paraId="4C71FAC4" w14:textId="1813F58F" w:rsidR="00A2541D" w:rsidRPr="00724947" w:rsidRDefault="00EB6109" w:rsidP="00222A1D">
      <w:pPr>
        <w:pStyle w:val="NoSpacing"/>
        <w:numPr>
          <w:ilvl w:val="0"/>
          <w:numId w:val="4"/>
        </w:numPr>
        <w:spacing w:before="120" w:line="360" w:lineRule="auto"/>
        <w:jc w:val="both"/>
        <w:rPr>
          <w:rFonts w:ascii="Garamond" w:hAnsi="Garamond" w:cs="Times New Roman"/>
          <w:sz w:val="24"/>
          <w:szCs w:val="24"/>
        </w:rPr>
      </w:pPr>
      <w:r w:rsidRPr="00724947">
        <w:rPr>
          <w:rFonts w:ascii="Garamond" w:hAnsi="Garamond" w:cs="Times New Roman"/>
          <w:sz w:val="24"/>
          <w:szCs w:val="24"/>
        </w:rPr>
        <w:t>Where stands the sovereignty of Parliament</w:t>
      </w:r>
      <w:r w:rsidR="00051712" w:rsidRPr="00724947">
        <w:rPr>
          <w:rFonts w:ascii="Garamond" w:hAnsi="Garamond" w:cs="Times New Roman"/>
          <w:sz w:val="24"/>
          <w:szCs w:val="24"/>
        </w:rPr>
        <w:t xml:space="preserve"> today</w:t>
      </w:r>
      <w:r w:rsidRPr="00724947">
        <w:rPr>
          <w:rFonts w:ascii="Garamond" w:hAnsi="Garamond" w:cs="Times New Roman"/>
          <w:sz w:val="24"/>
          <w:szCs w:val="24"/>
        </w:rPr>
        <w:t xml:space="preserve">, given the ceding of legislative competence both downwards – to the devolved Parliaments in Scotland, Wales and Northern Ireland – and upwards – to </w:t>
      </w:r>
      <w:r w:rsidR="00B51892" w:rsidRPr="00724947">
        <w:rPr>
          <w:rFonts w:ascii="Garamond" w:hAnsi="Garamond" w:cs="Times New Roman"/>
          <w:sz w:val="24"/>
          <w:szCs w:val="24"/>
        </w:rPr>
        <w:t>the law-</w:t>
      </w:r>
      <w:r w:rsidRPr="00724947">
        <w:rPr>
          <w:rFonts w:ascii="Garamond" w:hAnsi="Garamond" w:cs="Times New Roman"/>
          <w:sz w:val="24"/>
          <w:szCs w:val="24"/>
        </w:rPr>
        <w:t>making powers of the European Union</w:t>
      </w:r>
      <w:r w:rsidR="00051712" w:rsidRPr="00724947">
        <w:rPr>
          <w:rFonts w:ascii="Garamond" w:hAnsi="Garamond" w:cs="Times New Roman"/>
          <w:sz w:val="24"/>
          <w:szCs w:val="24"/>
        </w:rPr>
        <w:t xml:space="preserve"> and to a lesser extent to the Council of Europe’s machinery for enforcing the European Convention on Human Rights</w:t>
      </w:r>
      <w:r w:rsidR="00AE3FBD" w:rsidRPr="00724947">
        <w:rPr>
          <w:rFonts w:ascii="Garamond" w:hAnsi="Garamond" w:cs="Times New Roman"/>
          <w:sz w:val="24"/>
          <w:szCs w:val="24"/>
        </w:rPr>
        <w:t xml:space="preserve"> (‘the ECHR’)</w:t>
      </w:r>
      <w:r w:rsidRPr="00724947">
        <w:rPr>
          <w:rFonts w:ascii="Garamond" w:hAnsi="Garamond" w:cs="Times New Roman"/>
          <w:sz w:val="24"/>
          <w:szCs w:val="24"/>
        </w:rPr>
        <w:t>?</w:t>
      </w:r>
      <w:r w:rsidR="00051712" w:rsidRPr="00724947">
        <w:rPr>
          <w:rFonts w:ascii="Garamond" w:hAnsi="Garamond" w:cs="Times New Roman"/>
          <w:sz w:val="24"/>
          <w:szCs w:val="24"/>
        </w:rPr>
        <w:t xml:space="preserve"> To what extent have these given the courts the power to rule on the validity of Acts of Parliament?</w:t>
      </w:r>
      <w:r w:rsidR="00A47C72" w:rsidRPr="00724947">
        <w:rPr>
          <w:rFonts w:ascii="Garamond" w:hAnsi="Garamond" w:cs="Times New Roman"/>
          <w:sz w:val="24"/>
          <w:szCs w:val="24"/>
        </w:rPr>
        <w:t xml:space="preserve"> </w:t>
      </w:r>
    </w:p>
    <w:p w14:paraId="373C9A78" w14:textId="6FDB5B49" w:rsidR="00930E61" w:rsidRPr="00724947" w:rsidRDefault="00EB6109" w:rsidP="00222A1D">
      <w:pPr>
        <w:pStyle w:val="NoSpacing"/>
        <w:numPr>
          <w:ilvl w:val="0"/>
          <w:numId w:val="4"/>
        </w:numPr>
        <w:spacing w:before="120" w:line="360" w:lineRule="auto"/>
        <w:jc w:val="both"/>
        <w:rPr>
          <w:rFonts w:ascii="Garamond" w:hAnsi="Garamond" w:cs="Times New Roman"/>
          <w:sz w:val="24"/>
          <w:szCs w:val="24"/>
        </w:rPr>
      </w:pPr>
      <w:r w:rsidRPr="00724947">
        <w:rPr>
          <w:rFonts w:ascii="Garamond" w:hAnsi="Garamond" w:cs="Times New Roman"/>
          <w:sz w:val="24"/>
          <w:szCs w:val="24"/>
        </w:rPr>
        <w:t xml:space="preserve">Where stands the rule of law </w:t>
      </w:r>
      <w:r w:rsidR="00051712" w:rsidRPr="00724947">
        <w:rPr>
          <w:rFonts w:ascii="Garamond" w:hAnsi="Garamond" w:cs="Times New Roman"/>
          <w:sz w:val="24"/>
          <w:szCs w:val="24"/>
        </w:rPr>
        <w:t>today</w:t>
      </w:r>
      <w:r w:rsidRPr="00724947">
        <w:rPr>
          <w:rFonts w:ascii="Garamond" w:hAnsi="Garamond" w:cs="Times New Roman"/>
          <w:sz w:val="24"/>
          <w:szCs w:val="24"/>
        </w:rPr>
        <w:t xml:space="preserve">? </w:t>
      </w:r>
      <w:r w:rsidR="003B52CA" w:rsidRPr="00724947">
        <w:rPr>
          <w:rFonts w:ascii="Garamond" w:hAnsi="Garamond" w:cs="Times New Roman"/>
          <w:sz w:val="24"/>
          <w:szCs w:val="24"/>
        </w:rPr>
        <w:t xml:space="preserve">The rule of law has </w:t>
      </w:r>
      <w:r w:rsidR="0052759C" w:rsidRPr="00724947">
        <w:rPr>
          <w:rFonts w:ascii="Garamond" w:hAnsi="Garamond" w:cs="Times New Roman"/>
          <w:sz w:val="24"/>
          <w:szCs w:val="24"/>
        </w:rPr>
        <w:t>historically</w:t>
      </w:r>
      <w:r w:rsidR="003B52CA" w:rsidRPr="00724947">
        <w:rPr>
          <w:rFonts w:ascii="Garamond" w:hAnsi="Garamond" w:cs="Times New Roman"/>
          <w:sz w:val="24"/>
          <w:szCs w:val="24"/>
        </w:rPr>
        <w:t xml:space="preserve"> been the servant of Parliamentary sovereignty</w:t>
      </w:r>
      <w:r w:rsidR="00051712" w:rsidRPr="00724947">
        <w:rPr>
          <w:rFonts w:ascii="Garamond" w:hAnsi="Garamond" w:cs="Times New Roman"/>
          <w:sz w:val="24"/>
          <w:szCs w:val="24"/>
        </w:rPr>
        <w:t>. The role of the courts is to</w:t>
      </w:r>
      <w:r w:rsidR="003B52CA" w:rsidRPr="00724947">
        <w:rPr>
          <w:rFonts w:ascii="Garamond" w:hAnsi="Garamond" w:cs="Times New Roman"/>
          <w:sz w:val="24"/>
          <w:szCs w:val="24"/>
        </w:rPr>
        <w:t xml:space="preserve"> ensur</w:t>
      </w:r>
      <w:r w:rsidR="00051712" w:rsidRPr="00724947">
        <w:rPr>
          <w:rFonts w:ascii="Garamond" w:hAnsi="Garamond" w:cs="Times New Roman"/>
          <w:sz w:val="24"/>
          <w:szCs w:val="24"/>
        </w:rPr>
        <w:t>e</w:t>
      </w:r>
      <w:r w:rsidR="003B52CA" w:rsidRPr="00724947">
        <w:rPr>
          <w:rFonts w:ascii="Garamond" w:hAnsi="Garamond" w:cs="Times New Roman"/>
          <w:sz w:val="24"/>
          <w:szCs w:val="24"/>
        </w:rPr>
        <w:t xml:space="preserve"> that public </w:t>
      </w:r>
      <w:r w:rsidR="00051712" w:rsidRPr="00724947">
        <w:rPr>
          <w:rFonts w:ascii="Garamond" w:hAnsi="Garamond" w:cs="Times New Roman"/>
          <w:sz w:val="24"/>
          <w:szCs w:val="24"/>
        </w:rPr>
        <w:t>bodies</w:t>
      </w:r>
      <w:r w:rsidR="003B52CA" w:rsidRPr="00724947">
        <w:rPr>
          <w:rFonts w:ascii="Garamond" w:hAnsi="Garamond" w:cs="Times New Roman"/>
          <w:sz w:val="24"/>
          <w:szCs w:val="24"/>
        </w:rPr>
        <w:t xml:space="preserve"> stay within </w:t>
      </w:r>
      <w:r w:rsidR="00EF75BA" w:rsidRPr="00724947">
        <w:rPr>
          <w:rFonts w:ascii="Garamond" w:hAnsi="Garamond" w:cs="Times New Roman"/>
          <w:sz w:val="24"/>
          <w:szCs w:val="24"/>
        </w:rPr>
        <w:t xml:space="preserve">the </w:t>
      </w:r>
      <w:r w:rsidR="00051712" w:rsidRPr="00724947">
        <w:rPr>
          <w:rFonts w:ascii="Garamond" w:hAnsi="Garamond" w:cs="Times New Roman"/>
          <w:sz w:val="24"/>
          <w:szCs w:val="24"/>
        </w:rPr>
        <w:t>limits</w:t>
      </w:r>
      <w:r w:rsidR="00EF75BA" w:rsidRPr="00724947">
        <w:rPr>
          <w:rFonts w:ascii="Garamond" w:hAnsi="Garamond" w:cs="Times New Roman"/>
          <w:sz w:val="24"/>
          <w:szCs w:val="24"/>
        </w:rPr>
        <w:t xml:space="preserve"> of the powers which </w:t>
      </w:r>
      <w:r w:rsidR="003B52CA" w:rsidRPr="00724947">
        <w:rPr>
          <w:rFonts w:ascii="Garamond" w:hAnsi="Garamond" w:cs="Times New Roman"/>
          <w:sz w:val="24"/>
          <w:szCs w:val="24"/>
        </w:rPr>
        <w:t>Parliament has given them</w:t>
      </w:r>
      <w:r w:rsidR="00051712" w:rsidRPr="00724947">
        <w:rPr>
          <w:rFonts w:ascii="Garamond" w:hAnsi="Garamond" w:cs="Times New Roman"/>
          <w:sz w:val="24"/>
          <w:szCs w:val="24"/>
        </w:rPr>
        <w:t xml:space="preserve"> or, in the case of central government, within the limits of the royal prerogative. But what would happen if Parliament itself tried to take </w:t>
      </w:r>
      <w:proofErr w:type="gramStart"/>
      <w:r w:rsidR="00051712" w:rsidRPr="00724947">
        <w:rPr>
          <w:rFonts w:ascii="Garamond" w:hAnsi="Garamond" w:cs="Times New Roman"/>
          <w:sz w:val="24"/>
          <w:szCs w:val="24"/>
        </w:rPr>
        <w:t>away</w:t>
      </w:r>
      <w:proofErr w:type="gramEnd"/>
      <w:r w:rsidR="00051712" w:rsidRPr="00724947">
        <w:rPr>
          <w:rFonts w:ascii="Garamond" w:hAnsi="Garamond" w:cs="Times New Roman"/>
          <w:sz w:val="24"/>
          <w:szCs w:val="24"/>
        </w:rPr>
        <w:t xml:space="preserve"> or limit that role, in effect to license a minister or public body to act illegally?</w:t>
      </w:r>
      <w:r w:rsidR="00222A1D" w:rsidRPr="00724947">
        <w:rPr>
          <w:rFonts w:ascii="Garamond" w:hAnsi="Garamond" w:cs="Times New Roman"/>
          <w:sz w:val="24"/>
          <w:szCs w:val="24"/>
        </w:rPr>
        <w:t xml:space="preserve"> </w:t>
      </w:r>
      <w:r w:rsidR="00051712" w:rsidRPr="00724947">
        <w:rPr>
          <w:rFonts w:ascii="Garamond" w:hAnsi="Garamond" w:cs="Times New Roman"/>
          <w:sz w:val="24"/>
          <w:szCs w:val="24"/>
        </w:rPr>
        <w:t xml:space="preserve">In those rare cases where the two organising principles of our Constitution </w:t>
      </w:r>
      <w:r w:rsidR="0052759C" w:rsidRPr="00724947">
        <w:rPr>
          <w:rFonts w:ascii="Garamond" w:hAnsi="Garamond" w:cs="Times New Roman"/>
          <w:sz w:val="24"/>
          <w:szCs w:val="24"/>
        </w:rPr>
        <w:t>might</w:t>
      </w:r>
      <w:r w:rsidR="00051712" w:rsidRPr="00724947">
        <w:rPr>
          <w:rFonts w:ascii="Garamond" w:hAnsi="Garamond" w:cs="Times New Roman"/>
          <w:sz w:val="24"/>
          <w:szCs w:val="24"/>
        </w:rPr>
        <w:t xml:space="preserve"> conflict, which will take priority?</w:t>
      </w:r>
      <w:r w:rsidR="0052759C" w:rsidRPr="00724947">
        <w:rPr>
          <w:rFonts w:ascii="Garamond" w:hAnsi="Garamond" w:cs="Times New Roman"/>
          <w:sz w:val="24"/>
          <w:szCs w:val="24"/>
        </w:rPr>
        <w:t xml:space="preserve"> Might the rule of law, in fact, become the organising principle of our Constitution?</w:t>
      </w:r>
      <w:r w:rsidR="00471600" w:rsidRPr="00724947">
        <w:rPr>
          <w:rFonts w:ascii="Garamond" w:hAnsi="Garamond" w:cs="Times New Roman"/>
          <w:sz w:val="24"/>
          <w:szCs w:val="24"/>
        </w:rPr>
        <w:t xml:space="preserve"> </w:t>
      </w:r>
    </w:p>
    <w:p w14:paraId="41031638" w14:textId="31CB3FC3" w:rsidR="00DF7EF4" w:rsidRPr="00724947" w:rsidRDefault="00930E61" w:rsidP="00222A1D">
      <w:pPr>
        <w:pStyle w:val="NoSpacing"/>
        <w:spacing w:before="120" w:line="360" w:lineRule="auto"/>
        <w:jc w:val="both"/>
        <w:rPr>
          <w:rFonts w:ascii="Garamond" w:hAnsi="Garamond" w:cs="Times New Roman"/>
          <w:sz w:val="24"/>
          <w:szCs w:val="24"/>
        </w:rPr>
      </w:pPr>
      <w:r w:rsidRPr="00724947">
        <w:rPr>
          <w:rFonts w:ascii="Garamond" w:hAnsi="Garamond" w:cs="Times New Roman"/>
          <w:sz w:val="24"/>
          <w:szCs w:val="24"/>
        </w:rPr>
        <w:lastRenderedPageBreak/>
        <w:t xml:space="preserve">These issues were addressed by the </w:t>
      </w:r>
      <w:r w:rsidR="0052759C" w:rsidRPr="00724947">
        <w:rPr>
          <w:rFonts w:ascii="Garamond" w:hAnsi="Garamond" w:cs="Times New Roman"/>
          <w:sz w:val="24"/>
          <w:szCs w:val="24"/>
        </w:rPr>
        <w:t xml:space="preserve">appellate committee of the </w:t>
      </w:r>
      <w:r w:rsidRPr="00724947">
        <w:rPr>
          <w:rFonts w:ascii="Garamond" w:hAnsi="Garamond" w:cs="Times New Roman"/>
          <w:sz w:val="24"/>
          <w:szCs w:val="24"/>
        </w:rPr>
        <w:t xml:space="preserve">House of Lords </w:t>
      </w:r>
      <w:r w:rsidR="0052759C" w:rsidRPr="00724947">
        <w:rPr>
          <w:rFonts w:ascii="Garamond" w:hAnsi="Garamond" w:cs="Times New Roman"/>
          <w:sz w:val="24"/>
          <w:szCs w:val="24"/>
        </w:rPr>
        <w:t xml:space="preserve">(which was the apex court of the United Kingdom before the Supreme Court was set up in 2009) </w:t>
      </w:r>
      <w:r w:rsidR="00EE6178" w:rsidRPr="00724947">
        <w:rPr>
          <w:rFonts w:ascii="Garamond" w:hAnsi="Garamond" w:cs="Times New Roman"/>
          <w:sz w:val="24"/>
          <w:szCs w:val="24"/>
        </w:rPr>
        <w:t xml:space="preserve">in the famous case of </w:t>
      </w:r>
      <w:r w:rsidR="00EE6178" w:rsidRPr="00724947">
        <w:rPr>
          <w:rFonts w:ascii="Garamond" w:hAnsi="Garamond" w:cs="Times New Roman"/>
          <w:i/>
          <w:sz w:val="24"/>
          <w:szCs w:val="24"/>
        </w:rPr>
        <w:t>R (Jackson) v Attorney-General</w:t>
      </w:r>
      <w:r w:rsidRPr="00724947">
        <w:rPr>
          <w:rFonts w:ascii="Garamond" w:hAnsi="Garamond" w:cs="Times New Roman"/>
          <w:sz w:val="24"/>
          <w:szCs w:val="24"/>
        </w:rPr>
        <w:t>.</w:t>
      </w:r>
      <w:r w:rsidR="00EE6178" w:rsidRPr="00724947">
        <w:rPr>
          <w:rStyle w:val="FootnoteReference"/>
          <w:rFonts w:ascii="Garamond" w:hAnsi="Garamond" w:cs="Times New Roman"/>
          <w:sz w:val="24"/>
          <w:szCs w:val="24"/>
        </w:rPr>
        <w:footnoteReference w:id="8"/>
      </w:r>
      <w:r w:rsidR="00EE6178" w:rsidRPr="00724947">
        <w:rPr>
          <w:rFonts w:ascii="Garamond" w:hAnsi="Garamond" w:cs="Times New Roman"/>
          <w:sz w:val="24"/>
          <w:szCs w:val="24"/>
        </w:rPr>
        <w:t xml:space="preserve"> </w:t>
      </w:r>
      <w:r w:rsidRPr="00724947">
        <w:rPr>
          <w:rFonts w:ascii="Garamond" w:hAnsi="Garamond" w:cs="Times New Roman"/>
          <w:sz w:val="24"/>
          <w:szCs w:val="24"/>
        </w:rPr>
        <w:t xml:space="preserve">This was </w:t>
      </w:r>
      <w:r w:rsidR="00EE6178" w:rsidRPr="00724947">
        <w:rPr>
          <w:rFonts w:ascii="Garamond" w:hAnsi="Garamond" w:cs="Times New Roman"/>
          <w:sz w:val="24"/>
          <w:szCs w:val="24"/>
        </w:rPr>
        <w:t xml:space="preserve">the first of three </w:t>
      </w:r>
      <w:r w:rsidR="00505C3A" w:rsidRPr="00724947">
        <w:rPr>
          <w:rFonts w:ascii="Garamond" w:hAnsi="Garamond" w:cs="Times New Roman"/>
          <w:sz w:val="24"/>
          <w:szCs w:val="24"/>
        </w:rPr>
        <w:t xml:space="preserve">fantastic </w:t>
      </w:r>
      <w:r w:rsidR="00EE6178" w:rsidRPr="00724947">
        <w:rPr>
          <w:rFonts w:ascii="Garamond" w:hAnsi="Garamond" w:cs="Times New Roman"/>
          <w:sz w:val="24"/>
          <w:szCs w:val="24"/>
        </w:rPr>
        <w:t xml:space="preserve">challenges to the Hunting Act 2004. </w:t>
      </w:r>
      <w:r w:rsidRPr="00724947">
        <w:rPr>
          <w:rFonts w:ascii="Garamond" w:hAnsi="Garamond" w:cs="Times New Roman"/>
          <w:sz w:val="24"/>
          <w:szCs w:val="24"/>
        </w:rPr>
        <w:t>It was concerned, not with the content</w:t>
      </w:r>
      <w:r w:rsidR="00505C3A" w:rsidRPr="00724947">
        <w:rPr>
          <w:rFonts w:ascii="Garamond" w:hAnsi="Garamond" w:cs="Times New Roman"/>
          <w:sz w:val="24"/>
          <w:szCs w:val="24"/>
        </w:rPr>
        <w:t xml:space="preserve"> of the Act and</w:t>
      </w:r>
      <w:r w:rsidR="002A583D" w:rsidRPr="00724947">
        <w:rPr>
          <w:rFonts w:ascii="Garamond" w:hAnsi="Garamond" w:cs="Times New Roman"/>
          <w:sz w:val="24"/>
          <w:szCs w:val="24"/>
        </w:rPr>
        <w:t xml:space="preserve"> </w:t>
      </w:r>
      <w:r w:rsidRPr="00724947">
        <w:rPr>
          <w:rFonts w:ascii="Garamond" w:hAnsi="Garamond" w:cs="Times New Roman"/>
          <w:sz w:val="24"/>
          <w:szCs w:val="24"/>
        </w:rPr>
        <w:t>whether it contravened either the ECHR or the law of the European Union</w:t>
      </w:r>
      <w:r w:rsidR="00AE3FBD" w:rsidRPr="00724947">
        <w:rPr>
          <w:rFonts w:ascii="Garamond" w:hAnsi="Garamond" w:cs="Times New Roman"/>
          <w:sz w:val="24"/>
          <w:szCs w:val="24"/>
        </w:rPr>
        <w:t xml:space="preserve"> (‘the EU’)</w:t>
      </w:r>
      <w:r w:rsidRPr="00724947">
        <w:rPr>
          <w:rFonts w:ascii="Garamond" w:hAnsi="Garamond" w:cs="Times New Roman"/>
          <w:sz w:val="24"/>
          <w:szCs w:val="24"/>
        </w:rPr>
        <w:t>,</w:t>
      </w:r>
      <w:r w:rsidRPr="00724947">
        <w:rPr>
          <w:rStyle w:val="FootnoteReference"/>
          <w:rFonts w:ascii="Garamond" w:hAnsi="Garamond" w:cs="Times New Roman"/>
          <w:sz w:val="24"/>
          <w:szCs w:val="24"/>
        </w:rPr>
        <w:footnoteReference w:id="9"/>
      </w:r>
      <w:r w:rsidRPr="00724947">
        <w:rPr>
          <w:rFonts w:ascii="Garamond" w:hAnsi="Garamond" w:cs="Times New Roman"/>
          <w:sz w:val="24"/>
          <w:szCs w:val="24"/>
        </w:rPr>
        <w:t xml:space="preserve"> </w:t>
      </w:r>
      <w:r w:rsidR="00EE6178" w:rsidRPr="00724947">
        <w:rPr>
          <w:rFonts w:ascii="Garamond" w:hAnsi="Garamond" w:cs="Times New Roman"/>
          <w:sz w:val="24"/>
          <w:szCs w:val="24"/>
        </w:rPr>
        <w:t xml:space="preserve">but </w:t>
      </w:r>
      <w:r w:rsidRPr="00724947">
        <w:rPr>
          <w:rFonts w:ascii="Garamond" w:hAnsi="Garamond" w:cs="Times New Roman"/>
          <w:sz w:val="24"/>
          <w:szCs w:val="24"/>
        </w:rPr>
        <w:t>with</w:t>
      </w:r>
      <w:r w:rsidR="00EE6178" w:rsidRPr="00724947">
        <w:rPr>
          <w:rFonts w:ascii="Garamond" w:hAnsi="Garamond" w:cs="Times New Roman"/>
          <w:sz w:val="24"/>
          <w:szCs w:val="24"/>
        </w:rPr>
        <w:t xml:space="preserve"> its validity as an Act of Parliament. Luckily, no-one took the point that nine members of the House of Lords were being asked to adjudicate upon a bitter battle between the House of Commons and the House of Lords</w:t>
      </w:r>
      <w:r w:rsidR="00E442BB" w:rsidRPr="00724947">
        <w:rPr>
          <w:rFonts w:ascii="Garamond" w:hAnsi="Garamond" w:cs="Times New Roman"/>
          <w:sz w:val="24"/>
          <w:szCs w:val="24"/>
        </w:rPr>
        <w:t xml:space="preserve">, but the case was enough to </w:t>
      </w:r>
      <w:r w:rsidR="00D74271" w:rsidRPr="00724947">
        <w:rPr>
          <w:rFonts w:ascii="Garamond" w:hAnsi="Garamond" w:cs="Times New Roman"/>
          <w:sz w:val="24"/>
          <w:szCs w:val="24"/>
        </w:rPr>
        <w:t>ultimately</w:t>
      </w:r>
      <w:r w:rsidR="00FC3F57" w:rsidRPr="00724947">
        <w:rPr>
          <w:rFonts w:ascii="Garamond" w:hAnsi="Garamond" w:cs="Times New Roman"/>
          <w:sz w:val="24"/>
          <w:szCs w:val="24"/>
        </w:rPr>
        <w:t xml:space="preserve"> </w:t>
      </w:r>
      <w:r w:rsidR="00E442BB" w:rsidRPr="00724947">
        <w:rPr>
          <w:rFonts w:ascii="Garamond" w:hAnsi="Garamond" w:cs="Times New Roman"/>
          <w:sz w:val="24"/>
          <w:szCs w:val="24"/>
        </w:rPr>
        <w:t xml:space="preserve">persuade the </w:t>
      </w:r>
      <w:r w:rsidR="0052759C" w:rsidRPr="00724947">
        <w:rPr>
          <w:rFonts w:ascii="Garamond" w:hAnsi="Garamond" w:cs="Times New Roman"/>
          <w:sz w:val="24"/>
          <w:szCs w:val="24"/>
        </w:rPr>
        <w:t xml:space="preserve">then </w:t>
      </w:r>
      <w:r w:rsidR="00E442BB" w:rsidRPr="00724947">
        <w:rPr>
          <w:rFonts w:ascii="Garamond" w:hAnsi="Garamond" w:cs="Times New Roman"/>
          <w:sz w:val="24"/>
          <w:szCs w:val="24"/>
        </w:rPr>
        <w:t xml:space="preserve">Lord Chief Justice </w:t>
      </w:r>
      <w:r w:rsidR="0052759C" w:rsidRPr="00724947">
        <w:rPr>
          <w:rFonts w:ascii="Garamond" w:hAnsi="Garamond" w:cs="Times New Roman"/>
          <w:sz w:val="24"/>
          <w:szCs w:val="24"/>
        </w:rPr>
        <w:t xml:space="preserve">of England and Wales </w:t>
      </w:r>
      <w:r w:rsidR="00E442BB" w:rsidRPr="00724947">
        <w:rPr>
          <w:rFonts w:ascii="Garamond" w:hAnsi="Garamond" w:cs="Times New Roman"/>
          <w:sz w:val="24"/>
          <w:szCs w:val="24"/>
        </w:rPr>
        <w:t>of the need for a Supreme Court separate from both Houses of Parliament</w:t>
      </w:r>
      <w:r w:rsidR="00EE6178" w:rsidRPr="00724947">
        <w:rPr>
          <w:rFonts w:ascii="Garamond" w:hAnsi="Garamond" w:cs="Times New Roman"/>
          <w:sz w:val="24"/>
          <w:szCs w:val="24"/>
        </w:rPr>
        <w:t>.</w:t>
      </w:r>
      <w:r w:rsidR="00AE3FBD" w:rsidRPr="00724947">
        <w:rPr>
          <w:rStyle w:val="FootnoteReference"/>
          <w:rFonts w:ascii="Garamond" w:hAnsi="Garamond" w:cs="Times New Roman"/>
          <w:sz w:val="24"/>
          <w:szCs w:val="24"/>
        </w:rPr>
        <w:footnoteReference w:id="10"/>
      </w:r>
      <w:r w:rsidR="00EE6178" w:rsidRPr="00724947">
        <w:rPr>
          <w:rFonts w:ascii="Garamond" w:hAnsi="Garamond" w:cs="Times New Roman"/>
          <w:sz w:val="24"/>
          <w:szCs w:val="24"/>
        </w:rPr>
        <w:t xml:space="preserve"> </w:t>
      </w:r>
    </w:p>
    <w:p w14:paraId="1B4C35CF" w14:textId="5BAC4E7D" w:rsidR="00930E61" w:rsidRPr="00724947" w:rsidRDefault="00E442BB" w:rsidP="00222A1D">
      <w:pPr>
        <w:spacing w:before="120" w:line="360" w:lineRule="auto"/>
        <w:jc w:val="both"/>
        <w:rPr>
          <w:rFonts w:ascii="Garamond" w:hAnsi="Garamond"/>
        </w:rPr>
      </w:pPr>
      <w:r w:rsidRPr="00724947">
        <w:rPr>
          <w:rFonts w:ascii="Garamond" w:hAnsi="Garamond"/>
        </w:rPr>
        <w:t xml:space="preserve">In </w:t>
      </w:r>
      <w:r w:rsidRPr="00724947">
        <w:rPr>
          <w:rFonts w:ascii="Garamond" w:hAnsi="Garamond"/>
          <w:i/>
        </w:rPr>
        <w:t>Jackson</w:t>
      </w:r>
      <w:r w:rsidRPr="00724947">
        <w:rPr>
          <w:rFonts w:ascii="Garamond" w:hAnsi="Garamond"/>
        </w:rPr>
        <w:t>,</w:t>
      </w:r>
      <w:r w:rsidRPr="00724947">
        <w:rPr>
          <w:rFonts w:ascii="Garamond" w:hAnsi="Garamond"/>
          <w:i/>
        </w:rPr>
        <w:t xml:space="preserve"> </w:t>
      </w:r>
      <w:r w:rsidRPr="00724947">
        <w:rPr>
          <w:rFonts w:ascii="Garamond" w:hAnsi="Garamond"/>
        </w:rPr>
        <w:t>t</w:t>
      </w:r>
      <w:r w:rsidR="00EE6178" w:rsidRPr="00724947">
        <w:rPr>
          <w:rFonts w:ascii="Garamond" w:hAnsi="Garamond"/>
        </w:rPr>
        <w:t xml:space="preserve">he </w:t>
      </w:r>
      <w:r w:rsidR="00930E61" w:rsidRPr="00724947">
        <w:rPr>
          <w:rFonts w:ascii="Garamond" w:hAnsi="Garamond"/>
        </w:rPr>
        <w:t xml:space="preserve">argument was that the </w:t>
      </w:r>
      <w:r w:rsidR="00EE6178" w:rsidRPr="00724947">
        <w:rPr>
          <w:rFonts w:ascii="Garamond" w:hAnsi="Garamond"/>
        </w:rPr>
        <w:t>Parliament Act 1911</w:t>
      </w:r>
      <w:r w:rsidR="00930E61" w:rsidRPr="00724947">
        <w:rPr>
          <w:rFonts w:ascii="Garamond" w:hAnsi="Garamond"/>
        </w:rPr>
        <w:t xml:space="preserve">, in providing that </w:t>
      </w:r>
      <w:r w:rsidRPr="00724947">
        <w:rPr>
          <w:rFonts w:ascii="Garamond" w:hAnsi="Garamond"/>
        </w:rPr>
        <w:t>in certain circumstances a Bill</w:t>
      </w:r>
      <w:r w:rsidR="00930E61" w:rsidRPr="00724947">
        <w:rPr>
          <w:rFonts w:ascii="Garamond" w:hAnsi="Garamond"/>
        </w:rPr>
        <w:t xml:space="preserve"> might become law without the consent of the House of Lords, had delegated the power of Parliament as lawfully constituted – King, Lords and Commons – to the King and Commons alone. </w:t>
      </w:r>
      <w:r w:rsidRPr="00724947">
        <w:rPr>
          <w:rFonts w:ascii="Garamond" w:hAnsi="Garamond"/>
        </w:rPr>
        <w:t xml:space="preserve">Legislation passed by the modified body was </w:t>
      </w:r>
      <w:r w:rsidR="00FC3F57" w:rsidRPr="00724947">
        <w:rPr>
          <w:rFonts w:ascii="Garamond" w:hAnsi="Garamond"/>
        </w:rPr>
        <w:t xml:space="preserve">thus </w:t>
      </w:r>
      <w:r w:rsidRPr="00724947">
        <w:rPr>
          <w:rFonts w:ascii="Garamond" w:hAnsi="Garamond"/>
        </w:rPr>
        <w:t>delegated rather than primary legislation. A delegate cannot</w:t>
      </w:r>
      <w:r w:rsidRPr="00724947">
        <w:rPr>
          <w:rFonts w:ascii="Garamond" w:hAnsi="Garamond"/>
          <w:strike/>
        </w:rPr>
        <w:t xml:space="preserve"> </w:t>
      </w:r>
      <w:r w:rsidRPr="00724947">
        <w:rPr>
          <w:rFonts w:ascii="Garamond" w:hAnsi="Garamond"/>
        </w:rPr>
        <w:t>use his delegated powers to enlarge those powers unless expressly authorised to do so. He cannot pull himself up by his own bootstraps. And the courts can strike dow</w:t>
      </w:r>
      <w:r w:rsidR="0052759C" w:rsidRPr="00724947">
        <w:rPr>
          <w:rFonts w:ascii="Garamond" w:hAnsi="Garamond"/>
        </w:rPr>
        <w:t>n delegated legislation. T</w:t>
      </w:r>
      <w:r w:rsidRPr="00724947">
        <w:rPr>
          <w:rFonts w:ascii="Garamond" w:hAnsi="Garamond"/>
        </w:rPr>
        <w:t>he Parliament Act 1949, passed under the 1911 Act procedure, had modified the circumstances in whi</w:t>
      </w:r>
      <w:r w:rsidR="0052759C" w:rsidRPr="00724947">
        <w:rPr>
          <w:rFonts w:ascii="Garamond" w:hAnsi="Garamond"/>
        </w:rPr>
        <w:t>ch such a Bill might become law</w:t>
      </w:r>
      <w:r w:rsidRPr="00724947">
        <w:rPr>
          <w:rFonts w:ascii="Garamond" w:hAnsi="Garamond"/>
        </w:rPr>
        <w:t xml:space="preserve"> and made it easier to pass legislation without the Lords’ consent</w:t>
      </w:r>
      <w:r w:rsidR="0052759C" w:rsidRPr="00724947">
        <w:rPr>
          <w:rFonts w:ascii="Garamond" w:hAnsi="Garamond"/>
        </w:rPr>
        <w:t>. Hence the argument was that it</w:t>
      </w:r>
      <w:r w:rsidRPr="00724947">
        <w:rPr>
          <w:rFonts w:ascii="Garamond" w:hAnsi="Garamond"/>
        </w:rPr>
        <w:t xml:space="preserve"> was invalid, as was the Hunting Act 2004, passed under the procedure as modified by the 1949 Act</w:t>
      </w:r>
      <w:r w:rsidR="0052759C" w:rsidRPr="00724947">
        <w:rPr>
          <w:rFonts w:ascii="Garamond" w:hAnsi="Garamond"/>
        </w:rPr>
        <w:t xml:space="preserve"> (as were the three other Acts of Parliament passed in the same way)</w:t>
      </w:r>
      <w:r w:rsidRPr="00724947">
        <w:rPr>
          <w:rFonts w:ascii="Garamond" w:hAnsi="Garamond"/>
        </w:rPr>
        <w:t>.</w:t>
      </w:r>
      <w:r w:rsidR="00500E83" w:rsidRPr="00724947">
        <w:rPr>
          <w:rStyle w:val="FootnoteReference"/>
          <w:rFonts w:ascii="Garamond" w:hAnsi="Garamond"/>
        </w:rPr>
        <w:footnoteReference w:id="11"/>
      </w:r>
      <w:r w:rsidRPr="00724947">
        <w:rPr>
          <w:rFonts w:ascii="Garamond" w:hAnsi="Garamond"/>
        </w:rPr>
        <w:t xml:space="preserve"> </w:t>
      </w:r>
    </w:p>
    <w:p w14:paraId="0E3BE589" w14:textId="4F5540D0" w:rsidR="00EE6178" w:rsidRPr="00724947" w:rsidRDefault="00FF0C44" w:rsidP="00222A1D">
      <w:pPr>
        <w:spacing w:before="120" w:line="360" w:lineRule="auto"/>
        <w:jc w:val="both"/>
        <w:rPr>
          <w:rFonts w:ascii="Garamond" w:hAnsi="Garamond"/>
        </w:rPr>
      </w:pPr>
      <w:r w:rsidRPr="00724947">
        <w:rPr>
          <w:rFonts w:ascii="Garamond" w:hAnsi="Garamond"/>
        </w:rPr>
        <w:t>The appellate committee of the House of Lords had little</w:t>
      </w:r>
      <w:r w:rsidR="00EE6178" w:rsidRPr="00724947">
        <w:rPr>
          <w:rFonts w:ascii="Garamond" w:hAnsi="Garamond"/>
        </w:rPr>
        <w:t xml:space="preserve"> difficulty in rejecting that argument. The 1911 Act created a new way of passing Acts of Parliament. </w:t>
      </w:r>
      <w:r w:rsidR="00E442BB" w:rsidRPr="00724947">
        <w:rPr>
          <w:rFonts w:ascii="Garamond" w:hAnsi="Garamond"/>
        </w:rPr>
        <w:t>Its</w:t>
      </w:r>
      <w:r w:rsidR="00EE6178" w:rsidRPr="00724947">
        <w:rPr>
          <w:rFonts w:ascii="Garamond" w:hAnsi="Garamond"/>
        </w:rPr>
        <w:t xml:space="preserve"> language was quite explicit: Bills passed under that procedure would become Acts of Parliament.</w:t>
      </w:r>
      <w:r w:rsidR="00D74271" w:rsidRPr="00724947">
        <w:rPr>
          <w:rStyle w:val="FootnoteReference"/>
          <w:rFonts w:ascii="Garamond" w:hAnsi="Garamond"/>
        </w:rPr>
        <w:footnoteReference w:id="12"/>
      </w:r>
      <w:r w:rsidR="00EE6178" w:rsidRPr="00724947">
        <w:rPr>
          <w:rFonts w:ascii="Garamond" w:hAnsi="Garamond"/>
        </w:rPr>
        <w:t xml:space="preserve"> The legislature </w:t>
      </w:r>
      <w:r w:rsidRPr="00724947">
        <w:rPr>
          <w:rFonts w:ascii="Garamond" w:hAnsi="Garamond"/>
        </w:rPr>
        <w:t xml:space="preserve">had not delegated power to a lesser body. It had simply </w:t>
      </w:r>
      <w:r w:rsidR="00EE6178" w:rsidRPr="00724947">
        <w:rPr>
          <w:rFonts w:ascii="Garamond" w:hAnsi="Garamond"/>
        </w:rPr>
        <w:t>redefined itself. A distinction has to be drawn, as Lord Steyn put it, between what Parliament can do by legislation and what Parliament has to do to legislate.</w:t>
      </w:r>
      <w:r w:rsidR="00D24407" w:rsidRPr="00724947">
        <w:rPr>
          <w:rStyle w:val="FootnoteReference"/>
          <w:rFonts w:ascii="Garamond" w:hAnsi="Garamond"/>
          <w:lang w:val="en-AU"/>
        </w:rPr>
        <w:footnoteReference w:id="13"/>
      </w:r>
      <w:r w:rsidR="009205C8" w:rsidRPr="00724947">
        <w:rPr>
          <w:rFonts w:ascii="Garamond" w:hAnsi="Garamond"/>
        </w:rPr>
        <w:t xml:space="preserve"> </w:t>
      </w:r>
    </w:p>
    <w:p w14:paraId="258C785A" w14:textId="2DCE7220" w:rsidR="00EE6178" w:rsidRPr="00724947" w:rsidRDefault="00EE6178" w:rsidP="00222A1D">
      <w:pPr>
        <w:spacing w:before="120" w:line="360" w:lineRule="auto"/>
        <w:jc w:val="both"/>
        <w:rPr>
          <w:rFonts w:ascii="Garamond" w:hAnsi="Garamond"/>
        </w:rPr>
      </w:pPr>
      <w:r w:rsidRPr="00724947">
        <w:rPr>
          <w:rFonts w:ascii="Garamond" w:hAnsi="Garamond"/>
        </w:rPr>
        <w:t xml:space="preserve">But are there </w:t>
      </w:r>
      <w:r w:rsidRPr="00724947">
        <w:rPr>
          <w:rFonts w:ascii="Garamond" w:hAnsi="Garamond"/>
          <w:i/>
        </w:rPr>
        <w:t>any</w:t>
      </w:r>
      <w:r w:rsidRPr="00724947">
        <w:rPr>
          <w:rFonts w:ascii="Garamond" w:hAnsi="Garamond"/>
        </w:rPr>
        <w:t xml:space="preserve"> limits to what can be done under the Parliament Act procedure? The Court of Appeal thought that it could not be used to make fundamental constitutional changes to the relationship between Lords and Commons, such as abolishing the House of Lords.</w:t>
      </w:r>
      <w:r w:rsidRPr="00724947">
        <w:rPr>
          <w:rStyle w:val="FootnoteReference"/>
          <w:rFonts w:ascii="Garamond" w:hAnsi="Garamond"/>
        </w:rPr>
        <w:footnoteReference w:id="14"/>
      </w:r>
      <w:r w:rsidRPr="00724947">
        <w:rPr>
          <w:rFonts w:ascii="Garamond" w:hAnsi="Garamond"/>
        </w:rPr>
        <w:t xml:space="preserve"> None of us agreed with that. The 1911 Act had been passed in order to do two very fundamental things – to establish home rule for Ireland and </w:t>
      </w:r>
      <w:r w:rsidRPr="00724947">
        <w:rPr>
          <w:rFonts w:ascii="Garamond" w:hAnsi="Garamond"/>
        </w:rPr>
        <w:lastRenderedPageBreak/>
        <w:t>to disestablish the Church in Wales.</w:t>
      </w:r>
      <w:r w:rsidR="00500E83" w:rsidRPr="00724947">
        <w:rPr>
          <w:rStyle w:val="FootnoteReference"/>
          <w:rFonts w:ascii="Garamond" w:hAnsi="Garamond"/>
        </w:rPr>
        <w:footnoteReference w:id="15"/>
      </w:r>
      <w:r w:rsidRPr="00724947">
        <w:rPr>
          <w:rFonts w:ascii="Garamond" w:hAnsi="Garamond"/>
        </w:rPr>
        <w:t xml:space="preserve"> </w:t>
      </w:r>
      <w:r w:rsidR="00FF0C44" w:rsidRPr="00724947">
        <w:rPr>
          <w:rFonts w:ascii="Garamond" w:hAnsi="Garamond"/>
        </w:rPr>
        <w:t>However,</w:t>
      </w:r>
      <w:r w:rsidRPr="00724947">
        <w:rPr>
          <w:rFonts w:ascii="Garamond" w:hAnsi="Garamond"/>
        </w:rPr>
        <w:t xml:space="preserve"> </w:t>
      </w:r>
      <w:r w:rsidR="00E442BB" w:rsidRPr="00724947">
        <w:rPr>
          <w:rFonts w:ascii="Garamond" w:hAnsi="Garamond"/>
        </w:rPr>
        <w:t>the quid pro quo was to reduce the maximum length of a Parliament from seven to five years.</w:t>
      </w:r>
      <w:r w:rsidR="00500E83" w:rsidRPr="00724947">
        <w:rPr>
          <w:rStyle w:val="FootnoteReference"/>
          <w:rFonts w:ascii="Garamond" w:hAnsi="Garamond"/>
        </w:rPr>
        <w:footnoteReference w:id="16"/>
      </w:r>
      <w:r w:rsidR="00E442BB" w:rsidRPr="00724947">
        <w:rPr>
          <w:rFonts w:ascii="Garamond" w:hAnsi="Garamond"/>
        </w:rPr>
        <w:t xml:space="preserve"> To get through under the </w:t>
      </w:r>
      <w:r w:rsidR="0052759C" w:rsidRPr="00724947">
        <w:rPr>
          <w:rFonts w:ascii="Garamond" w:hAnsi="Garamond"/>
        </w:rPr>
        <w:t>1911 Act</w:t>
      </w:r>
      <w:r w:rsidR="00E442BB" w:rsidRPr="00724947">
        <w:rPr>
          <w:rFonts w:ascii="Garamond" w:hAnsi="Garamond"/>
        </w:rPr>
        <w:t xml:space="preserve"> procedure, a Bill would have to start its passage quite soon after a general election, when the Commons still had a democratic mandate from the people. So the </w:t>
      </w:r>
      <w:r w:rsidR="0052759C" w:rsidRPr="00724947">
        <w:rPr>
          <w:rFonts w:ascii="Garamond" w:hAnsi="Garamond"/>
        </w:rPr>
        <w:t xml:space="preserve">1911 </w:t>
      </w:r>
      <w:r w:rsidR="00E442BB" w:rsidRPr="00724947">
        <w:rPr>
          <w:rFonts w:ascii="Garamond" w:hAnsi="Garamond"/>
        </w:rPr>
        <w:t xml:space="preserve">Act also provides that a Bill to prolong the life of a Parliament beyond five years </w:t>
      </w:r>
      <w:r w:rsidR="0052759C" w:rsidRPr="00724947">
        <w:rPr>
          <w:rFonts w:ascii="Garamond" w:hAnsi="Garamond"/>
        </w:rPr>
        <w:t>cannot</w:t>
      </w:r>
      <w:r w:rsidR="00E442BB" w:rsidRPr="00724947">
        <w:rPr>
          <w:rFonts w:ascii="Garamond" w:hAnsi="Garamond"/>
        </w:rPr>
        <w:t xml:space="preserve"> be passed in this way. All the members of the appellate committee</w:t>
      </w:r>
      <w:r w:rsidRPr="00724947">
        <w:rPr>
          <w:rFonts w:ascii="Garamond" w:hAnsi="Garamond"/>
        </w:rPr>
        <w:t xml:space="preserve"> (apart from Lord Bingham) thought that it would not be possible to get round th</w:t>
      </w:r>
      <w:r w:rsidR="0052759C" w:rsidRPr="00724947">
        <w:rPr>
          <w:rFonts w:ascii="Garamond" w:hAnsi="Garamond"/>
        </w:rPr>
        <w:t xml:space="preserve">is </w:t>
      </w:r>
      <w:r w:rsidRPr="00724947">
        <w:rPr>
          <w:rFonts w:ascii="Garamond" w:hAnsi="Garamond"/>
        </w:rPr>
        <w:t xml:space="preserve">prohibition by passing two Bills – one amending the Parliament Act to remove the prohibition and then one to </w:t>
      </w:r>
      <w:r w:rsidR="00E62AFC" w:rsidRPr="00724947">
        <w:rPr>
          <w:rFonts w:ascii="Garamond" w:hAnsi="Garamond"/>
        </w:rPr>
        <w:t>prolong</w:t>
      </w:r>
      <w:r w:rsidRPr="00724947">
        <w:rPr>
          <w:rFonts w:ascii="Garamond" w:hAnsi="Garamond"/>
        </w:rPr>
        <w:t xml:space="preserve"> the life of </w:t>
      </w:r>
      <w:r w:rsidR="00E62AFC" w:rsidRPr="00724947">
        <w:rPr>
          <w:rFonts w:ascii="Garamond" w:hAnsi="Garamond"/>
        </w:rPr>
        <w:t xml:space="preserve">a </w:t>
      </w:r>
      <w:r w:rsidRPr="00724947">
        <w:rPr>
          <w:rFonts w:ascii="Garamond" w:hAnsi="Garamond"/>
        </w:rPr>
        <w:t>Parliament. An Act designed to reinforce democracy by preventing the unelected House from thwarting the will of the electorate ought not to be used to enable the elected House to do so.</w:t>
      </w:r>
      <w:r w:rsidR="00E442BB" w:rsidRPr="00724947">
        <w:rPr>
          <w:rFonts w:ascii="Garamond" w:hAnsi="Garamond"/>
        </w:rPr>
        <w:t xml:space="preserve"> (This might be thought illogical, as the 1949 Act had made it possible to force legislation through some years after </w:t>
      </w:r>
      <w:r w:rsidR="00F95C5A" w:rsidRPr="00724947">
        <w:rPr>
          <w:rFonts w:ascii="Garamond" w:hAnsi="Garamond"/>
        </w:rPr>
        <w:t>a general election, and there has never been any requirement that the measure in question be promised in the party’s manifesto.)</w:t>
      </w:r>
      <w:r w:rsidR="009205C8" w:rsidRPr="00724947">
        <w:rPr>
          <w:rFonts w:ascii="Garamond" w:hAnsi="Garamond"/>
        </w:rPr>
        <w:t xml:space="preserve"> </w:t>
      </w:r>
    </w:p>
    <w:p w14:paraId="610F9AF5" w14:textId="1CD5E57D" w:rsidR="00E62AFC" w:rsidRPr="00724947" w:rsidRDefault="00702AFB" w:rsidP="00222A1D">
      <w:pPr>
        <w:spacing w:before="120" w:line="360" w:lineRule="auto"/>
        <w:jc w:val="both"/>
        <w:rPr>
          <w:rFonts w:ascii="Garamond" w:hAnsi="Garamond"/>
        </w:rPr>
      </w:pPr>
      <w:r w:rsidRPr="00724947">
        <w:rPr>
          <w:rFonts w:ascii="Garamond" w:hAnsi="Garamond"/>
        </w:rPr>
        <w:t xml:space="preserve">The case is more interesting to law students for the speculations </w:t>
      </w:r>
      <w:r w:rsidR="00E62AFC" w:rsidRPr="00724947">
        <w:rPr>
          <w:rFonts w:ascii="Garamond" w:hAnsi="Garamond"/>
        </w:rPr>
        <w:t xml:space="preserve">(wholly unnecessary to the decision and therefore </w:t>
      </w:r>
      <w:r w:rsidR="00E62AFC" w:rsidRPr="00724947">
        <w:rPr>
          <w:rFonts w:ascii="Garamond" w:hAnsi="Garamond"/>
          <w:i/>
        </w:rPr>
        <w:t>obiter dicta</w:t>
      </w:r>
      <w:r w:rsidR="00E62AFC" w:rsidRPr="00724947">
        <w:rPr>
          <w:rFonts w:ascii="Garamond" w:hAnsi="Garamond"/>
        </w:rPr>
        <w:t xml:space="preserve">) </w:t>
      </w:r>
      <w:r w:rsidRPr="00724947">
        <w:rPr>
          <w:rFonts w:ascii="Garamond" w:hAnsi="Garamond"/>
        </w:rPr>
        <w:t xml:space="preserve">about whether </w:t>
      </w:r>
      <w:r w:rsidR="00EE6178" w:rsidRPr="00724947">
        <w:rPr>
          <w:rFonts w:ascii="Garamond" w:hAnsi="Garamond"/>
        </w:rPr>
        <w:t xml:space="preserve">there might be other limits to </w:t>
      </w:r>
      <w:r w:rsidR="00F95C5A" w:rsidRPr="00724947">
        <w:rPr>
          <w:rFonts w:ascii="Garamond" w:hAnsi="Garamond"/>
        </w:rPr>
        <w:t xml:space="preserve">the legislative powers of </w:t>
      </w:r>
      <w:r w:rsidRPr="00724947">
        <w:rPr>
          <w:rFonts w:ascii="Garamond" w:hAnsi="Garamond"/>
        </w:rPr>
        <w:t>Parliament. Lord Steyn wondered whether ‘even a sovereign Parliament acting at the behest of a complaisant House of Commons’ could abolish judicial review or the ordinary role of the courts.</w:t>
      </w:r>
      <w:r w:rsidR="00EE6178" w:rsidRPr="00724947">
        <w:rPr>
          <w:rStyle w:val="FootnoteReference"/>
          <w:rFonts w:ascii="Garamond" w:hAnsi="Garamond"/>
        </w:rPr>
        <w:footnoteReference w:id="17"/>
      </w:r>
      <w:r w:rsidRPr="00724947">
        <w:rPr>
          <w:rFonts w:ascii="Garamond" w:hAnsi="Garamond"/>
        </w:rPr>
        <w:t xml:space="preserve"> </w:t>
      </w:r>
      <w:r w:rsidR="00EE6178" w:rsidRPr="00724947">
        <w:rPr>
          <w:rFonts w:ascii="Garamond" w:hAnsi="Garamond"/>
        </w:rPr>
        <w:t>There are some words in brackets in my own opinion to similar effect.</w:t>
      </w:r>
      <w:r w:rsidR="00EE6178" w:rsidRPr="00724947">
        <w:rPr>
          <w:rStyle w:val="FootnoteReference"/>
          <w:rFonts w:ascii="Garamond" w:hAnsi="Garamond"/>
        </w:rPr>
        <w:footnoteReference w:id="18"/>
      </w:r>
      <w:r w:rsidR="00EE6178" w:rsidRPr="00724947">
        <w:rPr>
          <w:rFonts w:ascii="Garamond" w:hAnsi="Garamond"/>
        </w:rPr>
        <w:t xml:space="preserve"> And Lord Hope </w:t>
      </w:r>
      <w:r w:rsidR="00F95C5A" w:rsidRPr="00724947">
        <w:rPr>
          <w:rFonts w:ascii="Garamond" w:hAnsi="Garamond"/>
        </w:rPr>
        <w:t xml:space="preserve">of Craighead </w:t>
      </w:r>
      <w:r w:rsidR="00EE6178" w:rsidRPr="00724947">
        <w:rPr>
          <w:rFonts w:ascii="Garamond" w:hAnsi="Garamond"/>
        </w:rPr>
        <w:t xml:space="preserve">was prepared to say that: </w:t>
      </w:r>
    </w:p>
    <w:p w14:paraId="0CA0EE43" w14:textId="6C1C5EE5" w:rsidR="00EE6178" w:rsidRPr="00724947" w:rsidRDefault="00EE6178" w:rsidP="00222A1D">
      <w:pPr>
        <w:spacing w:before="120" w:line="360" w:lineRule="auto"/>
        <w:ind w:left="284" w:right="282" w:firstLine="11"/>
        <w:jc w:val="both"/>
        <w:rPr>
          <w:rFonts w:ascii="Garamond" w:hAnsi="Garamond"/>
        </w:rPr>
      </w:pPr>
      <w:r w:rsidRPr="00724947">
        <w:rPr>
          <w:rFonts w:ascii="Garamond" w:hAnsi="Garamond"/>
        </w:rPr>
        <w:t xml:space="preserve">The rule of law enforced by the courts is the ultimate controlling factor </w:t>
      </w:r>
      <w:r w:rsidR="0036317A" w:rsidRPr="00724947">
        <w:rPr>
          <w:rFonts w:ascii="Garamond" w:hAnsi="Garamond"/>
          <w:lang w:val="en-AU"/>
        </w:rPr>
        <w:t>on</w:t>
      </w:r>
      <w:r w:rsidRPr="00724947">
        <w:rPr>
          <w:rFonts w:ascii="Garamond" w:hAnsi="Garamond"/>
        </w:rPr>
        <w:t xml:space="preserve"> which our constitution is based </w:t>
      </w:r>
      <w:r w:rsidR="009577DD" w:rsidRPr="00724947">
        <w:rPr>
          <w:rFonts w:ascii="Garamond" w:hAnsi="Garamond"/>
          <w:lang w:val="en-AU"/>
        </w:rPr>
        <w:t>[</w:t>
      </w:r>
      <w:r w:rsidR="0040459A" w:rsidRPr="00724947">
        <w:rPr>
          <w:rFonts w:ascii="Garamond" w:hAnsi="Garamond"/>
          <w:lang w:val="en-AU"/>
        </w:rPr>
        <w:t>…</w:t>
      </w:r>
      <w:r w:rsidR="009577DD" w:rsidRPr="00724947">
        <w:rPr>
          <w:rFonts w:ascii="Garamond" w:hAnsi="Garamond"/>
          <w:lang w:val="en-AU"/>
        </w:rPr>
        <w:t>]</w:t>
      </w:r>
      <w:r w:rsidRPr="00724947">
        <w:rPr>
          <w:rFonts w:ascii="Garamond" w:hAnsi="Garamond"/>
        </w:rPr>
        <w:t xml:space="preserve"> the courts have a part to play in defining the limits of </w:t>
      </w:r>
      <w:r w:rsidR="002F4BB7" w:rsidRPr="00724947">
        <w:rPr>
          <w:rFonts w:ascii="Garamond" w:hAnsi="Garamond"/>
          <w:lang w:val="en-AU"/>
        </w:rPr>
        <w:t>parliament’s legislative</w:t>
      </w:r>
      <w:r w:rsidRPr="00724947">
        <w:rPr>
          <w:rFonts w:ascii="Garamond" w:hAnsi="Garamond"/>
        </w:rPr>
        <w:t xml:space="preserve"> sovereignty.</w:t>
      </w:r>
      <w:r w:rsidRPr="00724947">
        <w:rPr>
          <w:rStyle w:val="FootnoteReference"/>
          <w:rFonts w:ascii="Garamond" w:hAnsi="Garamond"/>
        </w:rPr>
        <w:footnoteReference w:id="19"/>
      </w:r>
    </w:p>
    <w:p w14:paraId="1DB3346E" w14:textId="325738D6" w:rsidR="006108B0" w:rsidRPr="00724947" w:rsidRDefault="00EE6178" w:rsidP="00222A1D">
      <w:pPr>
        <w:pStyle w:val="NoSpacing"/>
        <w:spacing w:before="120" w:line="360" w:lineRule="auto"/>
        <w:jc w:val="both"/>
        <w:rPr>
          <w:rFonts w:ascii="Garamond" w:hAnsi="Garamond" w:cs="Times New Roman"/>
          <w:sz w:val="24"/>
          <w:szCs w:val="24"/>
        </w:rPr>
      </w:pPr>
      <w:r w:rsidRPr="00724947">
        <w:rPr>
          <w:rFonts w:ascii="Garamond" w:hAnsi="Garamond" w:cs="Times New Roman"/>
          <w:sz w:val="24"/>
          <w:szCs w:val="24"/>
        </w:rPr>
        <w:t>Lord Bingham later commented, in his book on the rule of law, that there was no authority for these propositions, which he regarded as heretical. In his view, the judges did not invent the principle of Parliamentary sovereignty, which was the product of the constitutional upheavals of the 17</w:t>
      </w:r>
      <w:r w:rsidRPr="00724947">
        <w:rPr>
          <w:rFonts w:ascii="Garamond" w:hAnsi="Garamond" w:cs="Times New Roman"/>
          <w:sz w:val="24"/>
          <w:szCs w:val="24"/>
          <w:vertAlign w:val="superscript"/>
        </w:rPr>
        <w:t>th</w:t>
      </w:r>
      <w:r w:rsidRPr="00724947">
        <w:rPr>
          <w:rFonts w:ascii="Garamond" w:hAnsi="Garamond" w:cs="Times New Roman"/>
          <w:sz w:val="24"/>
          <w:szCs w:val="24"/>
        </w:rPr>
        <w:t xml:space="preserve"> century, and it was not open to the judges to change it.</w:t>
      </w:r>
      <w:r w:rsidRPr="00724947">
        <w:rPr>
          <w:rStyle w:val="FootnoteReference"/>
          <w:rFonts w:ascii="Garamond" w:hAnsi="Garamond" w:cs="Times New Roman"/>
          <w:sz w:val="24"/>
          <w:szCs w:val="24"/>
        </w:rPr>
        <w:footnoteReference w:id="20"/>
      </w:r>
      <w:r w:rsidR="00F95C5A" w:rsidRPr="00724947">
        <w:rPr>
          <w:rFonts w:ascii="Garamond" w:hAnsi="Garamond" w:cs="Times New Roman"/>
          <w:sz w:val="24"/>
          <w:szCs w:val="24"/>
        </w:rPr>
        <w:t xml:space="preserve"> Lord Hope might retort that the sovereignty of Parliament is a peculiarly English principle and it is by no means obvious that it survived the union of the Parliaments in 1707.</w:t>
      </w:r>
      <w:r w:rsidR="0018478A" w:rsidRPr="00724947">
        <w:rPr>
          <w:rStyle w:val="FootnoteReference"/>
          <w:rFonts w:ascii="Garamond" w:hAnsi="Garamond" w:cs="Times New Roman"/>
          <w:sz w:val="24"/>
          <w:szCs w:val="24"/>
        </w:rPr>
        <w:footnoteReference w:id="21"/>
      </w:r>
    </w:p>
    <w:p w14:paraId="7EEF1947" w14:textId="2D636B60" w:rsidR="00455813" w:rsidRPr="00724947" w:rsidRDefault="006108B0" w:rsidP="00222A1D">
      <w:pPr>
        <w:pStyle w:val="NoSpacing"/>
        <w:spacing w:before="120" w:line="360" w:lineRule="auto"/>
        <w:jc w:val="both"/>
        <w:rPr>
          <w:rFonts w:ascii="Garamond" w:hAnsi="Garamond" w:cs="Times New Roman"/>
          <w:sz w:val="24"/>
          <w:szCs w:val="24"/>
        </w:rPr>
      </w:pPr>
      <w:r w:rsidRPr="00724947">
        <w:rPr>
          <w:rFonts w:ascii="Garamond" w:hAnsi="Garamond" w:cs="Times New Roman"/>
          <w:sz w:val="24"/>
          <w:szCs w:val="24"/>
        </w:rPr>
        <w:t>Of course, th</w:t>
      </w:r>
      <w:r w:rsidR="00470779" w:rsidRPr="00724947">
        <w:rPr>
          <w:rFonts w:ascii="Garamond" w:hAnsi="Garamond" w:cs="Times New Roman"/>
          <w:sz w:val="24"/>
          <w:szCs w:val="24"/>
        </w:rPr>
        <w:t>is argument</w:t>
      </w:r>
      <w:r w:rsidRPr="00724947">
        <w:rPr>
          <w:rFonts w:ascii="Garamond" w:hAnsi="Garamond" w:cs="Times New Roman"/>
          <w:sz w:val="24"/>
          <w:szCs w:val="24"/>
        </w:rPr>
        <w:t xml:space="preserve"> ha</w:t>
      </w:r>
      <w:r w:rsidR="00470779" w:rsidRPr="00724947">
        <w:rPr>
          <w:rFonts w:ascii="Garamond" w:hAnsi="Garamond" w:cs="Times New Roman"/>
          <w:sz w:val="24"/>
          <w:szCs w:val="24"/>
        </w:rPr>
        <w:t>s</w:t>
      </w:r>
      <w:r w:rsidRPr="00724947">
        <w:rPr>
          <w:rFonts w:ascii="Garamond" w:hAnsi="Garamond" w:cs="Times New Roman"/>
          <w:sz w:val="24"/>
          <w:szCs w:val="24"/>
        </w:rPr>
        <w:t xml:space="preserve"> nothing to do with the Parliament Act and the battle between the Commons and the Lords. </w:t>
      </w:r>
      <w:r w:rsidR="00455813" w:rsidRPr="00724947">
        <w:rPr>
          <w:rFonts w:ascii="Garamond" w:hAnsi="Garamond" w:cs="Times New Roman"/>
          <w:sz w:val="24"/>
          <w:szCs w:val="24"/>
        </w:rPr>
        <w:t>I</w:t>
      </w:r>
      <w:r w:rsidRPr="00724947">
        <w:rPr>
          <w:rFonts w:ascii="Garamond" w:hAnsi="Garamond" w:cs="Times New Roman"/>
          <w:sz w:val="24"/>
          <w:szCs w:val="24"/>
        </w:rPr>
        <w:t xml:space="preserve">f the rule of law were eventually to </w:t>
      </w:r>
      <w:r w:rsidR="00470779" w:rsidRPr="00724947">
        <w:rPr>
          <w:rFonts w:ascii="Garamond" w:hAnsi="Garamond" w:cs="Times New Roman"/>
          <w:sz w:val="24"/>
          <w:szCs w:val="24"/>
        </w:rPr>
        <w:t>place limits upon the legislative power of</w:t>
      </w:r>
      <w:r w:rsidRPr="00724947">
        <w:rPr>
          <w:rFonts w:ascii="Garamond" w:hAnsi="Garamond" w:cs="Times New Roman"/>
          <w:sz w:val="24"/>
          <w:szCs w:val="24"/>
        </w:rPr>
        <w:t xml:space="preserve"> Parliament,</w:t>
      </w:r>
      <w:r w:rsidR="00455813" w:rsidRPr="00724947">
        <w:rPr>
          <w:rFonts w:ascii="Garamond" w:hAnsi="Garamond" w:cs="Times New Roman"/>
          <w:sz w:val="24"/>
          <w:szCs w:val="24"/>
        </w:rPr>
        <w:t xml:space="preserve"> it would not matter whether the offending legislation had been passed with or without the consent of the House of Lords.</w:t>
      </w:r>
      <w:r w:rsidR="00F95C5A" w:rsidRPr="00724947">
        <w:rPr>
          <w:rFonts w:ascii="Garamond" w:hAnsi="Garamond" w:cs="Times New Roman"/>
          <w:sz w:val="24"/>
          <w:szCs w:val="24"/>
        </w:rPr>
        <w:t xml:space="preserve"> Nor should we forget that the principles of statutory construction </w:t>
      </w:r>
      <w:r w:rsidR="00E62AFC" w:rsidRPr="00724947">
        <w:rPr>
          <w:rFonts w:ascii="Garamond" w:hAnsi="Garamond" w:cs="Times New Roman"/>
          <w:sz w:val="24"/>
          <w:szCs w:val="24"/>
        </w:rPr>
        <w:t xml:space="preserve">– how the courts </w:t>
      </w:r>
      <w:r w:rsidR="00E62AFC" w:rsidRPr="00724947">
        <w:rPr>
          <w:rFonts w:ascii="Garamond" w:hAnsi="Garamond" w:cs="Times New Roman"/>
          <w:sz w:val="24"/>
          <w:szCs w:val="24"/>
        </w:rPr>
        <w:lastRenderedPageBreak/>
        <w:t xml:space="preserve">interpret legislation - </w:t>
      </w:r>
      <w:r w:rsidR="00F95C5A" w:rsidRPr="00724947">
        <w:rPr>
          <w:rFonts w:ascii="Garamond" w:hAnsi="Garamond" w:cs="Times New Roman"/>
          <w:sz w:val="24"/>
          <w:szCs w:val="24"/>
        </w:rPr>
        <w:t>can in practice place limits upon the scope of legislation. In certain circumstances, the courts will not construe legislation to have the meaning and effect which at first sight it might appear to have. I’ll come back to that.</w:t>
      </w:r>
    </w:p>
    <w:p w14:paraId="5E988C9A" w14:textId="247451CF" w:rsidR="00A92EEC" w:rsidRPr="00724947" w:rsidRDefault="00702AFB" w:rsidP="00222A1D">
      <w:pPr>
        <w:pStyle w:val="NoSpacing"/>
        <w:spacing w:before="120" w:line="360" w:lineRule="auto"/>
        <w:jc w:val="both"/>
        <w:rPr>
          <w:rFonts w:ascii="Garamond" w:hAnsi="Garamond" w:cs="Times New Roman"/>
          <w:sz w:val="24"/>
          <w:szCs w:val="24"/>
        </w:rPr>
      </w:pPr>
      <w:r w:rsidRPr="00724947">
        <w:rPr>
          <w:rFonts w:ascii="Garamond" w:hAnsi="Garamond" w:cs="Times New Roman"/>
          <w:sz w:val="24"/>
          <w:szCs w:val="24"/>
        </w:rPr>
        <w:t xml:space="preserve">However, devolution has given </w:t>
      </w:r>
      <w:r w:rsidR="00A00747" w:rsidRPr="00724947">
        <w:rPr>
          <w:rFonts w:ascii="Garamond" w:hAnsi="Garamond" w:cs="Times New Roman"/>
          <w:sz w:val="24"/>
          <w:szCs w:val="24"/>
        </w:rPr>
        <w:t>the Supreme Court</w:t>
      </w:r>
      <w:r w:rsidRPr="00724947">
        <w:rPr>
          <w:rFonts w:ascii="Garamond" w:hAnsi="Garamond" w:cs="Times New Roman"/>
          <w:sz w:val="24"/>
          <w:szCs w:val="24"/>
        </w:rPr>
        <w:t xml:space="preserve"> a new role in ruling upon the validity of legislation. </w:t>
      </w:r>
      <w:r w:rsidR="00455813" w:rsidRPr="00724947">
        <w:rPr>
          <w:rFonts w:ascii="Garamond" w:hAnsi="Garamond" w:cs="Times New Roman"/>
          <w:sz w:val="24"/>
          <w:szCs w:val="24"/>
        </w:rPr>
        <w:t>This was always the case under the Government of Ireland Act</w:t>
      </w:r>
      <w:r w:rsidR="00E84BB9" w:rsidRPr="00724947">
        <w:rPr>
          <w:rFonts w:ascii="Garamond" w:hAnsi="Garamond" w:cs="Times New Roman"/>
          <w:sz w:val="24"/>
          <w:szCs w:val="24"/>
        </w:rPr>
        <w:t xml:space="preserve"> 1920</w:t>
      </w:r>
      <w:r w:rsidR="00455813" w:rsidRPr="00724947">
        <w:rPr>
          <w:rFonts w:ascii="Garamond" w:hAnsi="Garamond" w:cs="Times New Roman"/>
          <w:sz w:val="24"/>
          <w:szCs w:val="24"/>
        </w:rPr>
        <w:t>, which set up the Northern Ireland Assembly with its own legislative powers. But this did not generate much litigation.</w:t>
      </w:r>
      <w:r w:rsidR="00E84BB9" w:rsidRPr="00724947">
        <w:rPr>
          <w:rStyle w:val="FootnoteReference"/>
          <w:rFonts w:ascii="Garamond" w:hAnsi="Garamond" w:cs="Times New Roman"/>
          <w:sz w:val="24"/>
          <w:szCs w:val="24"/>
        </w:rPr>
        <w:footnoteReference w:id="22"/>
      </w:r>
      <w:r w:rsidR="00455813" w:rsidRPr="00724947">
        <w:rPr>
          <w:rFonts w:ascii="Garamond" w:hAnsi="Garamond" w:cs="Times New Roman"/>
          <w:sz w:val="24"/>
          <w:szCs w:val="24"/>
        </w:rPr>
        <w:t xml:space="preserve"> We have had much more </w:t>
      </w:r>
      <w:r w:rsidR="00F95C5A" w:rsidRPr="00724947">
        <w:rPr>
          <w:rFonts w:ascii="Garamond" w:hAnsi="Garamond" w:cs="Times New Roman"/>
          <w:sz w:val="24"/>
          <w:szCs w:val="24"/>
        </w:rPr>
        <w:t>litigation</w:t>
      </w:r>
      <w:r w:rsidR="0018478A" w:rsidRPr="00724947">
        <w:rPr>
          <w:rFonts w:ascii="Garamond" w:hAnsi="Garamond" w:cs="Times New Roman"/>
          <w:sz w:val="24"/>
          <w:szCs w:val="24"/>
        </w:rPr>
        <w:t xml:space="preserve"> </w:t>
      </w:r>
      <w:r w:rsidR="00455813" w:rsidRPr="00724947">
        <w:rPr>
          <w:rFonts w:ascii="Garamond" w:hAnsi="Garamond" w:cs="Times New Roman"/>
          <w:sz w:val="24"/>
          <w:szCs w:val="24"/>
        </w:rPr>
        <w:t xml:space="preserve">since the devolution settlements of 1998. We now have to rule upon whether the </w:t>
      </w:r>
      <w:proofErr w:type="spellStart"/>
      <w:r w:rsidR="00455813" w:rsidRPr="00724947">
        <w:rPr>
          <w:rFonts w:ascii="Garamond" w:hAnsi="Garamond" w:cs="Times New Roman"/>
          <w:sz w:val="24"/>
          <w:szCs w:val="24"/>
        </w:rPr>
        <w:t>actings</w:t>
      </w:r>
      <w:proofErr w:type="spellEnd"/>
      <w:r w:rsidR="00455813" w:rsidRPr="00724947">
        <w:rPr>
          <w:rFonts w:ascii="Garamond" w:hAnsi="Garamond" w:cs="Times New Roman"/>
          <w:sz w:val="24"/>
          <w:szCs w:val="24"/>
        </w:rPr>
        <w:t xml:space="preserve"> of the </w:t>
      </w:r>
      <w:r w:rsidR="00A92EEC" w:rsidRPr="00724947">
        <w:rPr>
          <w:rFonts w:ascii="Garamond" w:hAnsi="Garamond" w:cs="Times New Roman"/>
          <w:sz w:val="24"/>
          <w:szCs w:val="24"/>
        </w:rPr>
        <w:t>national Governments and Parliaments of Scotland, Wales and Northern Ireland are within the scope of the powers which the U</w:t>
      </w:r>
      <w:r w:rsidR="00470779" w:rsidRPr="00724947">
        <w:rPr>
          <w:rFonts w:ascii="Garamond" w:hAnsi="Garamond" w:cs="Times New Roman"/>
          <w:sz w:val="24"/>
          <w:szCs w:val="24"/>
        </w:rPr>
        <w:t xml:space="preserve">nited </w:t>
      </w:r>
      <w:r w:rsidR="00A92EEC" w:rsidRPr="00724947">
        <w:rPr>
          <w:rFonts w:ascii="Garamond" w:hAnsi="Garamond" w:cs="Times New Roman"/>
          <w:sz w:val="24"/>
          <w:szCs w:val="24"/>
        </w:rPr>
        <w:t>K</w:t>
      </w:r>
      <w:r w:rsidR="00470779" w:rsidRPr="00724947">
        <w:rPr>
          <w:rFonts w:ascii="Garamond" w:hAnsi="Garamond" w:cs="Times New Roman"/>
          <w:sz w:val="24"/>
          <w:szCs w:val="24"/>
        </w:rPr>
        <w:t>ingdom</w:t>
      </w:r>
      <w:r w:rsidR="00A92EEC" w:rsidRPr="00724947">
        <w:rPr>
          <w:rFonts w:ascii="Garamond" w:hAnsi="Garamond" w:cs="Times New Roman"/>
          <w:sz w:val="24"/>
          <w:szCs w:val="24"/>
        </w:rPr>
        <w:t xml:space="preserve"> Parliament has given them. This jurisdiction was originally given to the Judicial Committee of the Privy Council, because it was thought that the battles would be between the UK </w:t>
      </w:r>
      <w:r w:rsidR="00E62AFC" w:rsidRPr="00724947">
        <w:rPr>
          <w:rFonts w:ascii="Garamond" w:hAnsi="Garamond" w:cs="Times New Roman"/>
          <w:sz w:val="24"/>
          <w:szCs w:val="24"/>
        </w:rPr>
        <w:t xml:space="preserve">Parliament </w:t>
      </w:r>
      <w:r w:rsidR="00A92EEC" w:rsidRPr="00724947">
        <w:rPr>
          <w:rFonts w:ascii="Garamond" w:hAnsi="Garamond" w:cs="Times New Roman"/>
          <w:sz w:val="24"/>
          <w:szCs w:val="24"/>
        </w:rPr>
        <w:t xml:space="preserve">and the devolved Parliaments, so </w:t>
      </w:r>
      <w:r w:rsidR="00E251C1" w:rsidRPr="00724947">
        <w:rPr>
          <w:rFonts w:ascii="Garamond" w:hAnsi="Garamond" w:cs="Times New Roman"/>
          <w:sz w:val="24"/>
          <w:szCs w:val="24"/>
        </w:rPr>
        <w:t xml:space="preserve">that </w:t>
      </w:r>
      <w:r w:rsidR="00A92EEC" w:rsidRPr="00724947">
        <w:rPr>
          <w:rFonts w:ascii="Garamond" w:hAnsi="Garamond" w:cs="Times New Roman"/>
          <w:sz w:val="24"/>
          <w:szCs w:val="24"/>
        </w:rPr>
        <w:t xml:space="preserve">it would not be right for </w:t>
      </w:r>
      <w:r w:rsidR="00E251C1" w:rsidRPr="00724947">
        <w:rPr>
          <w:rFonts w:ascii="Garamond" w:hAnsi="Garamond" w:cs="Times New Roman"/>
          <w:sz w:val="24"/>
          <w:szCs w:val="24"/>
        </w:rPr>
        <w:t>the appellate</w:t>
      </w:r>
      <w:r w:rsidR="00A92EEC" w:rsidRPr="00724947">
        <w:rPr>
          <w:rFonts w:ascii="Garamond" w:hAnsi="Garamond" w:cs="Times New Roman"/>
          <w:sz w:val="24"/>
          <w:szCs w:val="24"/>
        </w:rPr>
        <w:t xml:space="preserve"> committee of the House of </w:t>
      </w:r>
      <w:r w:rsidRPr="00724947">
        <w:rPr>
          <w:rFonts w:ascii="Garamond" w:hAnsi="Garamond" w:cs="Times New Roman"/>
          <w:sz w:val="24"/>
          <w:szCs w:val="24"/>
        </w:rPr>
        <w:t>Lords</w:t>
      </w:r>
      <w:r w:rsidR="00A92EEC" w:rsidRPr="00724947">
        <w:rPr>
          <w:rFonts w:ascii="Garamond" w:hAnsi="Garamond" w:cs="Times New Roman"/>
          <w:sz w:val="24"/>
          <w:szCs w:val="24"/>
        </w:rPr>
        <w:t xml:space="preserve"> to decide them</w:t>
      </w:r>
      <w:r w:rsidR="00A00747" w:rsidRPr="00724947">
        <w:rPr>
          <w:rFonts w:ascii="Garamond" w:hAnsi="Garamond" w:cs="Times New Roman"/>
          <w:sz w:val="24"/>
          <w:szCs w:val="24"/>
        </w:rPr>
        <w:t xml:space="preserve"> (</w:t>
      </w:r>
      <w:r w:rsidR="00470779" w:rsidRPr="00724947">
        <w:rPr>
          <w:rFonts w:ascii="Garamond" w:hAnsi="Garamond" w:cs="Times New Roman"/>
          <w:sz w:val="24"/>
          <w:szCs w:val="24"/>
        </w:rPr>
        <w:t xml:space="preserve">although </w:t>
      </w:r>
      <w:r w:rsidR="00A00747" w:rsidRPr="00724947">
        <w:rPr>
          <w:rFonts w:ascii="Garamond" w:hAnsi="Garamond" w:cs="Times New Roman"/>
          <w:sz w:val="24"/>
          <w:szCs w:val="24"/>
        </w:rPr>
        <w:t>they were given</w:t>
      </w:r>
      <w:r w:rsidR="00A92EEC" w:rsidRPr="00724947">
        <w:rPr>
          <w:rFonts w:ascii="Garamond" w:hAnsi="Garamond" w:cs="Times New Roman"/>
          <w:sz w:val="24"/>
          <w:szCs w:val="24"/>
        </w:rPr>
        <w:t xml:space="preserve"> to exactly the same </w:t>
      </w:r>
      <w:r w:rsidR="00A00747" w:rsidRPr="00724947">
        <w:rPr>
          <w:rFonts w:ascii="Garamond" w:hAnsi="Garamond" w:cs="Times New Roman"/>
          <w:sz w:val="24"/>
          <w:szCs w:val="24"/>
        </w:rPr>
        <w:t>judges, but</w:t>
      </w:r>
      <w:r w:rsidR="00A92EEC" w:rsidRPr="00724947">
        <w:rPr>
          <w:rFonts w:ascii="Garamond" w:hAnsi="Garamond" w:cs="Times New Roman"/>
          <w:sz w:val="24"/>
          <w:szCs w:val="24"/>
        </w:rPr>
        <w:t xml:space="preserve"> sitting in a </w:t>
      </w:r>
      <w:r w:rsidR="00E62AFC" w:rsidRPr="00724947">
        <w:rPr>
          <w:rFonts w:ascii="Garamond" w:hAnsi="Garamond" w:cs="Times New Roman"/>
          <w:sz w:val="24"/>
          <w:szCs w:val="24"/>
        </w:rPr>
        <w:t xml:space="preserve">separate </w:t>
      </w:r>
      <w:r w:rsidR="00A00747" w:rsidRPr="00724947">
        <w:rPr>
          <w:rFonts w:ascii="Garamond" w:hAnsi="Garamond" w:cs="Times New Roman"/>
          <w:sz w:val="24"/>
          <w:szCs w:val="24"/>
        </w:rPr>
        <w:t>body</w:t>
      </w:r>
      <w:r w:rsidR="00A92EEC" w:rsidRPr="00724947">
        <w:rPr>
          <w:rFonts w:ascii="Garamond" w:hAnsi="Garamond" w:cs="Times New Roman"/>
          <w:sz w:val="24"/>
          <w:szCs w:val="24"/>
        </w:rPr>
        <w:t xml:space="preserve"> which </w:t>
      </w:r>
      <w:r w:rsidR="00E62AFC" w:rsidRPr="00724947">
        <w:rPr>
          <w:rFonts w:ascii="Garamond" w:hAnsi="Garamond" w:cs="Times New Roman"/>
          <w:sz w:val="24"/>
          <w:szCs w:val="24"/>
        </w:rPr>
        <w:t xml:space="preserve">used to be the apex court for the whole of the British Empire and still hears appeals, sometimes on constitutional questions, from a number of smaller </w:t>
      </w:r>
      <w:r w:rsidR="00A92EEC" w:rsidRPr="00724947">
        <w:rPr>
          <w:rFonts w:ascii="Garamond" w:hAnsi="Garamond" w:cs="Times New Roman"/>
          <w:sz w:val="24"/>
          <w:szCs w:val="24"/>
        </w:rPr>
        <w:t>Commonwealth</w:t>
      </w:r>
      <w:r w:rsidR="00E62AFC" w:rsidRPr="00724947">
        <w:rPr>
          <w:rFonts w:ascii="Garamond" w:hAnsi="Garamond" w:cs="Times New Roman"/>
          <w:sz w:val="24"/>
          <w:szCs w:val="24"/>
        </w:rPr>
        <w:t xml:space="preserve"> countries</w:t>
      </w:r>
      <w:r w:rsidR="00A00747" w:rsidRPr="00724947">
        <w:rPr>
          <w:rFonts w:ascii="Garamond" w:hAnsi="Garamond" w:cs="Times New Roman"/>
          <w:sz w:val="24"/>
          <w:szCs w:val="24"/>
        </w:rPr>
        <w:t>)</w:t>
      </w:r>
      <w:r w:rsidR="00A92EEC" w:rsidRPr="00724947">
        <w:rPr>
          <w:rFonts w:ascii="Garamond" w:hAnsi="Garamond" w:cs="Times New Roman"/>
          <w:sz w:val="24"/>
          <w:szCs w:val="24"/>
        </w:rPr>
        <w:t xml:space="preserve">. Now that we have a Supreme Court, </w:t>
      </w:r>
      <w:r w:rsidR="00E251C1" w:rsidRPr="00724947">
        <w:rPr>
          <w:rFonts w:ascii="Garamond" w:hAnsi="Garamond" w:cs="Times New Roman"/>
          <w:sz w:val="24"/>
          <w:szCs w:val="24"/>
        </w:rPr>
        <w:t xml:space="preserve">separate from the UK Parliament, </w:t>
      </w:r>
      <w:r w:rsidR="00A92EEC" w:rsidRPr="00724947">
        <w:rPr>
          <w:rFonts w:ascii="Garamond" w:hAnsi="Garamond" w:cs="Times New Roman"/>
          <w:sz w:val="24"/>
          <w:szCs w:val="24"/>
        </w:rPr>
        <w:t>that is no longer a problem, so t</w:t>
      </w:r>
      <w:r w:rsidR="009205C8" w:rsidRPr="00724947">
        <w:rPr>
          <w:rFonts w:ascii="Garamond" w:hAnsi="Garamond" w:cs="Times New Roman"/>
          <w:sz w:val="24"/>
          <w:szCs w:val="24"/>
        </w:rPr>
        <w:t>he jurisdiction has come to us.</w:t>
      </w:r>
      <w:r w:rsidR="00AB074E" w:rsidRPr="00724947">
        <w:rPr>
          <w:rStyle w:val="FootnoteReference"/>
          <w:rFonts w:ascii="Garamond" w:hAnsi="Garamond" w:cs="Times New Roman"/>
          <w:sz w:val="24"/>
          <w:szCs w:val="24"/>
        </w:rPr>
        <w:footnoteReference w:id="23"/>
      </w:r>
    </w:p>
    <w:p w14:paraId="1D56DBEB" w14:textId="58768567" w:rsidR="003773E2" w:rsidRPr="00724947" w:rsidRDefault="00A92EEC" w:rsidP="00222A1D">
      <w:pPr>
        <w:spacing w:before="120" w:line="360" w:lineRule="auto"/>
        <w:jc w:val="both"/>
        <w:rPr>
          <w:rFonts w:ascii="Garamond" w:hAnsi="Garamond"/>
        </w:rPr>
      </w:pPr>
      <w:r w:rsidRPr="00724947">
        <w:rPr>
          <w:rFonts w:ascii="Garamond" w:hAnsi="Garamond"/>
        </w:rPr>
        <w:t>Devolution questions take two main forms and can come before us in two different ways.</w:t>
      </w:r>
      <w:r w:rsidR="00A47C72" w:rsidRPr="00724947">
        <w:rPr>
          <w:rFonts w:ascii="Garamond" w:hAnsi="Garamond"/>
        </w:rPr>
        <w:t xml:space="preserve"> </w:t>
      </w:r>
      <w:r w:rsidRPr="00724947">
        <w:rPr>
          <w:rFonts w:ascii="Garamond" w:hAnsi="Garamond"/>
        </w:rPr>
        <w:t xml:space="preserve">Most cases allege that a devolved Parliament or government has acted incompatibly with the rights contained in the </w:t>
      </w:r>
      <w:r w:rsidR="007F551A" w:rsidRPr="00724947">
        <w:rPr>
          <w:rFonts w:ascii="Garamond" w:hAnsi="Garamond"/>
          <w:lang w:val="en-AU"/>
        </w:rPr>
        <w:t>ECHR</w:t>
      </w:r>
      <w:r w:rsidR="0036317A" w:rsidRPr="00724947">
        <w:rPr>
          <w:rFonts w:ascii="Garamond" w:hAnsi="Garamond"/>
          <w:lang w:val="en-AU"/>
        </w:rPr>
        <w:t>.</w:t>
      </w:r>
      <w:r w:rsidRPr="00724947">
        <w:rPr>
          <w:rFonts w:ascii="Garamond" w:hAnsi="Garamond"/>
        </w:rPr>
        <w:t xml:space="preserve"> The </w:t>
      </w:r>
      <w:r w:rsidR="003773E2" w:rsidRPr="00724947">
        <w:rPr>
          <w:rFonts w:ascii="Garamond" w:hAnsi="Garamond"/>
        </w:rPr>
        <w:t>devolution statutes say that they must not do this</w:t>
      </w:r>
      <w:r w:rsidRPr="00724947">
        <w:rPr>
          <w:rFonts w:ascii="Garamond" w:hAnsi="Garamond"/>
        </w:rPr>
        <w:t>.</w:t>
      </w:r>
      <w:r w:rsidR="0018478A" w:rsidRPr="00724947">
        <w:rPr>
          <w:rStyle w:val="FootnoteReference"/>
          <w:rFonts w:ascii="Garamond" w:hAnsi="Garamond"/>
        </w:rPr>
        <w:footnoteReference w:id="24"/>
      </w:r>
      <w:r w:rsidRPr="00724947">
        <w:rPr>
          <w:rFonts w:ascii="Garamond" w:hAnsi="Garamond"/>
        </w:rPr>
        <w:t xml:space="preserve"> Th</w:t>
      </w:r>
      <w:r w:rsidR="00702AFB" w:rsidRPr="00724947">
        <w:rPr>
          <w:rFonts w:ascii="Garamond" w:hAnsi="Garamond"/>
        </w:rPr>
        <w:t xml:space="preserve">ese </w:t>
      </w:r>
      <w:r w:rsidRPr="00724947">
        <w:rPr>
          <w:rFonts w:ascii="Garamond" w:hAnsi="Garamond"/>
        </w:rPr>
        <w:t>challenge</w:t>
      </w:r>
      <w:r w:rsidR="00702AFB" w:rsidRPr="00724947">
        <w:rPr>
          <w:rFonts w:ascii="Garamond" w:hAnsi="Garamond"/>
        </w:rPr>
        <w:t>s</w:t>
      </w:r>
      <w:r w:rsidR="00470779" w:rsidRPr="00724947">
        <w:rPr>
          <w:rFonts w:ascii="Garamond" w:hAnsi="Garamond"/>
        </w:rPr>
        <w:t xml:space="preserve"> normally arise</w:t>
      </w:r>
      <w:r w:rsidRPr="00724947">
        <w:rPr>
          <w:rFonts w:ascii="Garamond" w:hAnsi="Garamond"/>
        </w:rPr>
        <w:t xml:space="preserve"> in a real, concrete case</w:t>
      </w:r>
      <w:r w:rsidR="00470779" w:rsidRPr="00724947">
        <w:rPr>
          <w:rFonts w:ascii="Garamond" w:hAnsi="Garamond"/>
        </w:rPr>
        <w:t xml:space="preserve">, which comes to us by way of an appeal </w:t>
      </w:r>
      <w:r w:rsidR="00E251C1" w:rsidRPr="00724947">
        <w:rPr>
          <w:rFonts w:ascii="Garamond" w:hAnsi="Garamond"/>
        </w:rPr>
        <w:t>or, in Scot</w:t>
      </w:r>
      <w:r w:rsidR="00FE7839" w:rsidRPr="00724947">
        <w:rPr>
          <w:rFonts w:ascii="Garamond" w:hAnsi="Garamond"/>
        </w:rPr>
        <w:t>tish criminal cases</w:t>
      </w:r>
      <w:r w:rsidR="00E251C1" w:rsidRPr="00724947">
        <w:rPr>
          <w:rFonts w:ascii="Garamond" w:hAnsi="Garamond"/>
        </w:rPr>
        <w:t xml:space="preserve">, </w:t>
      </w:r>
      <w:r w:rsidR="0018478A" w:rsidRPr="00724947">
        <w:rPr>
          <w:rFonts w:ascii="Garamond" w:hAnsi="Garamond"/>
        </w:rPr>
        <w:t xml:space="preserve">via </w:t>
      </w:r>
      <w:r w:rsidR="00E251C1" w:rsidRPr="00724947">
        <w:rPr>
          <w:rFonts w:ascii="Garamond" w:hAnsi="Garamond"/>
        </w:rPr>
        <w:t>a compatibility issue.</w:t>
      </w:r>
      <w:r w:rsidR="00FE7839" w:rsidRPr="00724947">
        <w:rPr>
          <w:rStyle w:val="FootnoteReference"/>
          <w:rFonts w:ascii="Garamond" w:hAnsi="Garamond"/>
        </w:rPr>
        <w:footnoteReference w:id="25"/>
      </w:r>
      <w:r w:rsidR="005C6553" w:rsidRPr="00724947">
        <w:rPr>
          <w:rFonts w:ascii="Garamond" w:hAnsi="Garamond"/>
        </w:rPr>
        <w:t xml:space="preserve"> In this way, aspects of Scottish criminal procedure may be challenged in the Supreme Court, even though there is no ordinary right of appeal in Scottish criminal cases. This has,</w:t>
      </w:r>
      <w:r w:rsidRPr="00724947">
        <w:rPr>
          <w:rFonts w:ascii="Garamond" w:hAnsi="Garamond"/>
        </w:rPr>
        <w:t xml:space="preserve"> </w:t>
      </w:r>
      <w:r w:rsidR="005C6553" w:rsidRPr="00724947">
        <w:rPr>
          <w:rFonts w:ascii="Garamond" w:hAnsi="Garamond"/>
        </w:rPr>
        <w:t>to say the least, proved controversial in Scotland.</w:t>
      </w:r>
      <w:r w:rsidR="005C6553" w:rsidRPr="00724947">
        <w:rPr>
          <w:rStyle w:val="FootnoteReference"/>
          <w:rFonts w:ascii="Garamond" w:hAnsi="Garamond"/>
        </w:rPr>
        <w:footnoteReference w:id="26"/>
      </w:r>
    </w:p>
    <w:p w14:paraId="2A797A3B" w14:textId="2973D14A" w:rsidR="00A92EEC" w:rsidRPr="00724947" w:rsidRDefault="00E22335" w:rsidP="00222A1D">
      <w:pPr>
        <w:spacing w:before="120" w:line="360" w:lineRule="auto"/>
        <w:jc w:val="both"/>
        <w:rPr>
          <w:rFonts w:ascii="Garamond" w:hAnsi="Garamond"/>
        </w:rPr>
      </w:pPr>
      <w:r w:rsidRPr="00724947">
        <w:rPr>
          <w:rFonts w:ascii="Garamond" w:hAnsi="Garamond"/>
        </w:rPr>
        <w:t xml:space="preserve">An example </w:t>
      </w:r>
      <w:r w:rsidR="00FE7839" w:rsidRPr="00724947">
        <w:rPr>
          <w:rFonts w:ascii="Garamond" w:hAnsi="Garamond"/>
        </w:rPr>
        <w:t>of</w:t>
      </w:r>
      <w:r w:rsidR="00724947" w:rsidRPr="00724947">
        <w:rPr>
          <w:rFonts w:ascii="Garamond" w:hAnsi="Garamond"/>
        </w:rPr>
        <w:t xml:space="preserve"> </w:t>
      </w:r>
      <w:r w:rsidR="00FE7839" w:rsidRPr="00724947">
        <w:rPr>
          <w:rFonts w:ascii="Garamond" w:hAnsi="Garamond"/>
        </w:rPr>
        <w:t xml:space="preserve">a human rights question coming to us on an ordinary appeal </w:t>
      </w:r>
      <w:r w:rsidRPr="00724947">
        <w:rPr>
          <w:rFonts w:ascii="Garamond" w:hAnsi="Garamond"/>
        </w:rPr>
        <w:t xml:space="preserve">is the </w:t>
      </w:r>
      <w:r w:rsidR="0036317A" w:rsidRPr="00724947">
        <w:rPr>
          <w:rFonts w:ascii="Garamond" w:hAnsi="Garamond"/>
          <w:i/>
          <w:lang w:val="en-AU"/>
        </w:rPr>
        <w:t>A</w:t>
      </w:r>
      <w:r w:rsidR="00E46D56" w:rsidRPr="00724947">
        <w:rPr>
          <w:rFonts w:ascii="Garamond" w:hAnsi="Garamond"/>
          <w:i/>
          <w:lang w:val="en-AU"/>
        </w:rPr>
        <w:t>XA</w:t>
      </w:r>
      <w:r w:rsidRPr="00724947">
        <w:rPr>
          <w:rFonts w:ascii="Garamond" w:hAnsi="Garamond"/>
          <w:i/>
        </w:rPr>
        <w:t xml:space="preserve"> Insurance </w:t>
      </w:r>
      <w:r w:rsidRPr="00724947">
        <w:rPr>
          <w:rFonts w:ascii="Garamond" w:hAnsi="Garamond"/>
        </w:rPr>
        <w:t>case</w:t>
      </w:r>
      <w:r w:rsidR="00E251C1" w:rsidRPr="00724947">
        <w:rPr>
          <w:rFonts w:ascii="Garamond" w:hAnsi="Garamond"/>
        </w:rPr>
        <w:t>.</w:t>
      </w:r>
      <w:r w:rsidR="00E251C1" w:rsidRPr="00724947">
        <w:rPr>
          <w:rStyle w:val="FootnoteReference"/>
          <w:rFonts w:ascii="Garamond" w:hAnsi="Garamond"/>
        </w:rPr>
        <w:footnoteReference w:id="27"/>
      </w:r>
      <w:r w:rsidR="00E251C1" w:rsidRPr="00724947">
        <w:rPr>
          <w:rFonts w:ascii="Garamond" w:hAnsi="Garamond"/>
        </w:rPr>
        <w:t xml:space="preserve"> The</w:t>
      </w:r>
      <w:r w:rsidR="00A92EEC" w:rsidRPr="00724947">
        <w:rPr>
          <w:rFonts w:ascii="Garamond" w:hAnsi="Garamond"/>
        </w:rPr>
        <w:t xml:space="preserve"> Damages (Asbestos-related Conditions) (Scotland) Act 2009</w:t>
      </w:r>
      <w:r w:rsidRPr="00724947">
        <w:rPr>
          <w:rFonts w:ascii="Garamond" w:hAnsi="Garamond"/>
        </w:rPr>
        <w:t xml:space="preserve"> </w:t>
      </w:r>
      <w:r w:rsidR="00A92EEC" w:rsidRPr="00724947">
        <w:rPr>
          <w:rFonts w:ascii="Garamond" w:hAnsi="Garamond"/>
        </w:rPr>
        <w:t xml:space="preserve">provided (with retrospective effect) that pleural plaques, pleural thickening and asbestosis constituted actionable harm, reversing the effect of a recent decision of the House of Lords which </w:t>
      </w:r>
      <w:r w:rsidR="00470779" w:rsidRPr="00724947">
        <w:rPr>
          <w:rFonts w:ascii="Garamond" w:hAnsi="Garamond"/>
        </w:rPr>
        <w:t xml:space="preserve">had </w:t>
      </w:r>
      <w:r w:rsidR="00A92EEC" w:rsidRPr="00724947">
        <w:rPr>
          <w:rFonts w:ascii="Garamond" w:hAnsi="Garamond"/>
        </w:rPr>
        <w:t>held that they did not.</w:t>
      </w:r>
      <w:r w:rsidR="00A92EEC" w:rsidRPr="00724947">
        <w:rPr>
          <w:rStyle w:val="FootnoteReference"/>
          <w:rFonts w:ascii="Garamond" w:hAnsi="Garamond"/>
        </w:rPr>
        <w:footnoteReference w:id="28"/>
      </w:r>
      <w:r w:rsidR="00A92EEC" w:rsidRPr="00724947">
        <w:rPr>
          <w:rFonts w:ascii="Garamond" w:hAnsi="Garamond"/>
        </w:rPr>
        <w:t xml:space="preserve"> The </w:t>
      </w:r>
      <w:r w:rsidR="001A18A5" w:rsidRPr="00724947">
        <w:rPr>
          <w:rFonts w:ascii="Garamond" w:hAnsi="Garamond"/>
        </w:rPr>
        <w:t xml:space="preserve">insurance industry </w:t>
      </w:r>
      <w:r w:rsidR="00FE7839" w:rsidRPr="00724947">
        <w:rPr>
          <w:rFonts w:ascii="Garamond" w:hAnsi="Garamond"/>
        </w:rPr>
        <w:t xml:space="preserve">(yes, insurance companies do have human rights) </w:t>
      </w:r>
      <w:r w:rsidR="001A18A5" w:rsidRPr="00724947">
        <w:rPr>
          <w:rFonts w:ascii="Garamond" w:hAnsi="Garamond"/>
        </w:rPr>
        <w:t>complained that this was a</w:t>
      </w:r>
      <w:r w:rsidR="00E251C1" w:rsidRPr="00724947">
        <w:rPr>
          <w:rFonts w:ascii="Garamond" w:hAnsi="Garamond"/>
        </w:rPr>
        <w:t>n unjustifiable</w:t>
      </w:r>
      <w:r w:rsidR="001A18A5" w:rsidRPr="00724947">
        <w:rPr>
          <w:rFonts w:ascii="Garamond" w:hAnsi="Garamond"/>
        </w:rPr>
        <w:t xml:space="preserve"> breach of their property rights, </w:t>
      </w:r>
      <w:r w:rsidR="00E251C1" w:rsidRPr="00724947">
        <w:rPr>
          <w:rFonts w:ascii="Garamond" w:hAnsi="Garamond"/>
        </w:rPr>
        <w:t>protected by</w:t>
      </w:r>
      <w:r w:rsidR="001A18A5" w:rsidRPr="00724947">
        <w:rPr>
          <w:rFonts w:ascii="Garamond" w:hAnsi="Garamond"/>
        </w:rPr>
        <w:t xml:space="preserve"> art 1 </w:t>
      </w:r>
      <w:r w:rsidR="000169F4" w:rsidRPr="00724947">
        <w:rPr>
          <w:rFonts w:ascii="Garamond" w:hAnsi="Garamond"/>
        </w:rPr>
        <w:t xml:space="preserve">of </w:t>
      </w:r>
      <w:r w:rsidR="007F551A" w:rsidRPr="00724947">
        <w:rPr>
          <w:rFonts w:ascii="Garamond" w:hAnsi="Garamond"/>
          <w:lang w:val="en-AU"/>
        </w:rPr>
        <w:t>p</w:t>
      </w:r>
      <w:r w:rsidR="0036317A" w:rsidRPr="00724947">
        <w:rPr>
          <w:rFonts w:ascii="Garamond" w:hAnsi="Garamond"/>
          <w:lang w:val="en-AU"/>
        </w:rPr>
        <w:t xml:space="preserve">rotocol </w:t>
      </w:r>
      <w:r w:rsidR="007F551A" w:rsidRPr="00724947">
        <w:rPr>
          <w:rFonts w:ascii="Garamond" w:hAnsi="Garamond"/>
          <w:lang w:val="en-AU"/>
        </w:rPr>
        <w:t xml:space="preserve">1 </w:t>
      </w:r>
      <w:r w:rsidR="0036317A" w:rsidRPr="00724947">
        <w:rPr>
          <w:rFonts w:ascii="Garamond" w:hAnsi="Garamond"/>
          <w:lang w:val="en-AU"/>
        </w:rPr>
        <w:t>to</w:t>
      </w:r>
      <w:r w:rsidR="001A18A5" w:rsidRPr="00724947">
        <w:rPr>
          <w:rFonts w:ascii="Garamond" w:hAnsi="Garamond"/>
        </w:rPr>
        <w:t xml:space="preserve"> the </w:t>
      </w:r>
      <w:r w:rsidR="0036317A" w:rsidRPr="00724947">
        <w:rPr>
          <w:rFonts w:ascii="Garamond" w:hAnsi="Garamond"/>
          <w:lang w:val="en-AU"/>
        </w:rPr>
        <w:t>E</w:t>
      </w:r>
      <w:r w:rsidR="007F551A" w:rsidRPr="00724947">
        <w:rPr>
          <w:rFonts w:ascii="Garamond" w:hAnsi="Garamond"/>
          <w:lang w:val="en-AU"/>
        </w:rPr>
        <w:t>CHR</w:t>
      </w:r>
      <w:r w:rsidR="001A18A5" w:rsidRPr="00724947">
        <w:rPr>
          <w:rFonts w:ascii="Garamond" w:hAnsi="Garamond"/>
        </w:rPr>
        <w:t>.</w:t>
      </w:r>
      <w:r w:rsidR="001A18A5" w:rsidRPr="00724947">
        <w:rPr>
          <w:rStyle w:val="FootnoteReference"/>
          <w:rFonts w:ascii="Garamond" w:hAnsi="Garamond"/>
        </w:rPr>
        <w:t xml:space="preserve"> </w:t>
      </w:r>
      <w:r w:rsidR="001A18A5" w:rsidRPr="00724947">
        <w:rPr>
          <w:rFonts w:ascii="Garamond" w:hAnsi="Garamond"/>
        </w:rPr>
        <w:t xml:space="preserve">The </w:t>
      </w:r>
      <w:r w:rsidR="00A92EEC" w:rsidRPr="00724947">
        <w:rPr>
          <w:rFonts w:ascii="Garamond" w:hAnsi="Garamond"/>
        </w:rPr>
        <w:t xml:space="preserve">Supreme Court agreed that this was an interference with their property rights, but </w:t>
      </w:r>
      <w:r w:rsidR="001A18A5" w:rsidRPr="00724947">
        <w:rPr>
          <w:rFonts w:ascii="Garamond" w:hAnsi="Garamond"/>
        </w:rPr>
        <w:t xml:space="preserve">held that </w:t>
      </w:r>
      <w:r w:rsidR="00A92EEC" w:rsidRPr="00724947">
        <w:rPr>
          <w:rFonts w:ascii="Garamond" w:hAnsi="Garamond"/>
        </w:rPr>
        <w:t xml:space="preserve">it was </w:t>
      </w:r>
      <w:r w:rsidR="005C6553" w:rsidRPr="00724947">
        <w:rPr>
          <w:rFonts w:ascii="Garamond" w:hAnsi="Garamond"/>
        </w:rPr>
        <w:t xml:space="preserve">justified as </w:t>
      </w:r>
      <w:r w:rsidR="00A92EEC" w:rsidRPr="00724947">
        <w:rPr>
          <w:rFonts w:ascii="Garamond" w:hAnsi="Garamond"/>
        </w:rPr>
        <w:t xml:space="preserve">a proportionate means of </w:t>
      </w:r>
      <w:r w:rsidR="00A92EEC" w:rsidRPr="00724947">
        <w:rPr>
          <w:rFonts w:ascii="Garamond" w:hAnsi="Garamond"/>
        </w:rPr>
        <w:lastRenderedPageBreak/>
        <w:t>achieving a legitimate aim.</w:t>
      </w:r>
      <w:r w:rsidR="00A47C72" w:rsidRPr="00724947">
        <w:rPr>
          <w:rFonts w:ascii="Garamond" w:hAnsi="Garamond"/>
        </w:rPr>
        <w:t xml:space="preserve"> </w:t>
      </w:r>
      <w:r w:rsidR="005C6553" w:rsidRPr="00724947">
        <w:rPr>
          <w:rFonts w:ascii="Garamond" w:hAnsi="Garamond"/>
        </w:rPr>
        <w:t>T</w:t>
      </w:r>
      <w:r w:rsidR="00470779" w:rsidRPr="00724947">
        <w:rPr>
          <w:rFonts w:ascii="Garamond" w:hAnsi="Garamond"/>
        </w:rPr>
        <w:t>he court</w:t>
      </w:r>
      <w:r w:rsidR="00A92EEC" w:rsidRPr="00724947">
        <w:rPr>
          <w:rFonts w:ascii="Garamond" w:hAnsi="Garamond"/>
        </w:rPr>
        <w:t xml:space="preserve"> recognised that this was a matter of social and economic policy in which weight should be given to the judgment of the democratically elected legislature as to how the balance between the various interests should be struck. </w:t>
      </w:r>
      <w:r w:rsidR="005C6553" w:rsidRPr="00724947">
        <w:rPr>
          <w:rFonts w:ascii="Garamond" w:hAnsi="Garamond"/>
        </w:rPr>
        <w:t xml:space="preserve">Significantly, it recognised that the Scottish Parliament was not to be regarded in the same light as a local authority. </w:t>
      </w:r>
      <w:r w:rsidR="001A18A5" w:rsidRPr="00724947">
        <w:rPr>
          <w:rFonts w:ascii="Garamond" w:hAnsi="Garamond"/>
        </w:rPr>
        <w:t xml:space="preserve">The wider grounds for judicial review of administrative action, which can be used to attack the decisions of local </w:t>
      </w:r>
      <w:r w:rsidR="00A00747" w:rsidRPr="00724947">
        <w:rPr>
          <w:rFonts w:ascii="Garamond" w:hAnsi="Garamond"/>
        </w:rPr>
        <w:t>government</w:t>
      </w:r>
      <w:r w:rsidR="001A18A5" w:rsidRPr="00724947">
        <w:rPr>
          <w:rFonts w:ascii="Garamond" w:hAnsi="Garamond"/>
        </w:rPr>
        <w:t>, did not apply.</w:t>
      </w:r>
    </w:p>
    <w:p w14:paraId="684AB240" w14:textId="0F6414FA" w:rsidR="00A92EEC" w:rsidRPr="00724947" w:rsidRDefault="001A18A5" w:rsidP="00222A1D">
      <w:pPr>
        <w:spacing w:before="120" w:line="360" w:lineRule="auto"/>
        <w:jc w:val="both"/>
        <w:rPr>
          <w:rFonts w:ascii="Garamond" w:hAnsi="Garamond"/>
        </w:rPr>
      </w:pPr>
      <w:r w:rsidRPr="00724947">
        <w:rPr>
          <w:rFonts w:ascii="Garamond" w:hAnsi="Garamond"/>
        </w:rPr>
        <w:t>Human rights apart, Acts of the devolved Parliaments</w:t>
      </w:r>
      <w:r w:rsidR="00A92EEC" w:rsidRPr="00724947">
        <w:rPr>
          <w:rFonts w:ascii="Garamond" w:hAnsi="Garamond"/>
        </w:rPr>
        <w:t xml:space="preserve"> may be invalid because </w:t>
      </w:r>
      <w:r w:rsidRPr="00724947">
        <w:rPr>
          <w:rFonts w:ascii="Garamond" w:hAnsi="Garamond"/>
        </w:rPr>
        <w:t>their</w:t>
      </w:r>
      <w:r w:rsidR="00A92EEC" w:rsidRPr="00724947">
        <w:rPr>
          <w:rFonts w:ascii="Garamond" w:hAnsi="Garamond"/>
        </w:rPr>
        <w:t xml:space="preserve"> subject matter is outside the powers which the United Kingdom Parliament has given them. Under the Scotland Act 1998, every</w:t>
      </w:r>
      <w:r w:rsidR="00A00747" w:rsidRPr="00724947">
        <w:rPr>
          <w:rFonts w:ascii="Garamond" w:hAnsi="Garamond"/>
        </w:rPr>
        <w:t xml:space="preserve"> subject</w:t>
      </w:r>
      <w:r w:rsidR="00A92EEC" w:rsidRPr="00724947">
        <w:rPr>
          <w:rFonts w:ascii="Garamond" w:hAnsi="Garamond"/>
        </w:rPr>
        <w:t xml:space="preserve"> which is not reserved to the UK Parliament is devolved,</w:t>
      </w:r>
      <w:r w:rsidR="0018478A" w:rsidRPr="00724947">
        <w:rPr>
          <w:rStyle w:val="FootnoteReference"/>
          <w:rFonts w:ascii="Garamond" w:hAnsi="Garamond"/>
        </w:rPr>
        <w:footnoteReference w:id="29"/>
      </w:r>
      <w:r w:rsidR="00A92EEC" w:rsidRPr="00724947">
        <w:rPr>
          <w:rFonts w:ascii="Garamond" w:hAnsi="Garamond"/>
        </w:rPr>
        <w:t xml:space="preserve"> whereas </w:t>
      </w:r>
      <w:r w:rsidR="00A00747" w:rsidRPr="00724947">
        <w:rPr>
          <w:rFonts w:ascii="Garamond" w:hAnsi="Garamond"/>
        </w:rPr>
        <w:t xml:space="preserve">currently </w:t>
      </w:r>
      <w:r w:rsidR="00A92EEC" w:rsidRPr="00724947">
        <w:rPr>
          <w:rFonts w:ascii="Garamond" w:hAnsi="Garamond"/>
        </w:rPr>
        <w:t>under the Government of Wales Act 2006, every</w:t>
      </w:r>
      <w:r w:rsidR="00A00747" w:rsidRPr="00724947">
        <w:rPr>
          <w:rFonts w:ascii="Garamond" w:hAnsi="Garamond"/>
        </w:rPr>
        <w:t xml:space="preserve"> subject</w:t>
      </w:r>
      <w:r w:rsidR="00A92EEC" w:rsidRPr="00724947">
        <w:rPr>
          <w:rFonts w:ascii="Garamond" w:hAnsi="Garamond"/>
        </w:rPr>
        <w:t xml:space="preserve"> which is not devolved </w:t>
      </w:r>
      <w:r w:rsidR="00A00747" w:rsidRPr="00724947">
        <w:rPr>
          <w:rFonts w:ascii="Garamond" w:hAnsi="Garamond"/>
        </w:rPr>
        <w:t xml:space="preserve">to the Welsh Assembly </w:t>
      </w:r>
      <w:r w:rsidR="00A92EEC" w:rsidRPr="00724947">
        <w:rPr>
          <w:rFonts w:ascii="Garamond" w:hAnsi="Garamond"/>
        </w:rPr>
        <w:t>is reserved to the UK Parliament</w:t>
      </w:r>
      <w:r w:rsidR="005C6553" w:rsidRPr="00724947">
        <w:rPr>
          <w:rFonts w:ascii="Garamond" w:hAnsi="Garamond"/>
        </w:rPr>
        <w:t xml:space="preserve"> (although the Welsh would like to convert to a reserved powers model)</w:t>
      </w:r>
      <w:r w:rsidR="00A92EEC" w:rsidRPr="00724947">
        <w:rPr>
          <w:rFonts w:ascii="Garamond" w:hAnsi="Garamond"/>
        </w:rPr>
        <w:t>.</w:t>
      </w:r>
      <w:r w:rsidR="0018478A" w:rsidRPr="00724947">
        <w:rPr>
          <w:rStyle w:val="FootnoteReference"/>
          <w:rFonts w:ascii="Garamond" w:hAnsi="Garamond"/>
        </w:rPr>
        <w:footnoteReference w:id="30"/>
      </w:r>
      <w:r w:rsidRPr="00724947">
        <w:rPr>
          <w:rFonts w:ascii="Garamond" w:hAnsi="Garamond"/>
        </w:rPr>
        <w:t xml:space="preserve"> </w:t>
      </w:r>
      <w:r w:rsidR="00FE7839" w:rsidRPr="00724947">
        <w:rPr>
          <w:rFonts w:ascii="Garamond" w:hAnsi="Garamond"/>
        </w:rPr>
        <w:t>Northern Ireland is like Scotland, in that everything which is not reserved is devolved, but some reserved matters can be devolved by delegated legislation or Ministerial consent, making it easier to add to the Assembly’s powers.</w:t>
      </w:r>
      <w:r w:rsidR="0018478A" w:rsidRPr="00724947">
        <w:rPr>
          <w:rStyle w:val="FootnoteReference"/>
          <w:rFonts w:ascii="Garamond" w:hAnsi="Garamond"/>
        </w:rPr>
        <w:footnoteReference w:id="31"/>
      </w:r>
      <w:r w:rsidR="00FE7839" w:rsidRPr="00724947">
        <w:rPr>
          <w:rFonts w:ascii="Garamond" w:hAnsi="Garamond"/>
        </w:rPr>
        <w:t xml:space="preserve"> </w:t>
      </w:r>
      <w:r w:rsidRPr="00724947">
        <w:rPr>
          <w:rFonts w:ascii="Garamond" w:hAnsi="Garamond"/>
        </w:rPr>
        <w:t>But</w:t>
      </w:r>
      <w:r w:rsidR="00E84BB9" w:rsidRPr="00724947">
        <w:rPr>
          <w:rFonts w:ascii="Garamond" w:hAnsi="Garamond"/>
        </w:rPr>
        <w:t xml:space="preserve">, </w:t>
      </w:r>
      <w:r w:rsidR="00FE7839" w:rsidRPr="00724947">
        <w:rPr>
          <w:rFonts w:ascii="Garamond" w:hAnsi="Garamond"/>
        </w:rPr>
        <w:t xml:space="preserve">whichever way round it is, </w:t>
      </w:r>
      <w:r w:rsidR="00E84BB9" w:rsidRPr="00724947">
        <w:rPr>
          <w:rFonts w:ascii="Garamond" w:hAnsi="Garamond"/>
        </w:rPr>
        <w:t>as was recognised in the Privy Council long ago</w:t>
      </w:r>
      <w:r w:rsidR="008E3FFF" w:rsidRPr="00724947">
        <w:rPr>
          <w:rFonts w:ascii="Garamond" w:hAnsi="Garamond"/>
        </w:rPr>
        <w:t xml:space="preserve"> in cases from Canada and India</w:t>
      </w:r>
      <w:r w:rsidR="00E84BB9" w:rsidRPr="00724947">
        <w:rPr>
          <w:rFonts w:ascii="Garamond" w:hAnsi="Garamond"/>
        </w:rPr>
        <w:t>, it is not possible to divide ‘devolved’ and ‘reserved’ matters into precisely defined watertight compartments: some degree of overlap is inevitable.</w:t>
      </w:r>
      <w:r w:rsidR="0018478A" w:rsidRPr="00724947">
        <w:rPr>
          <w:rStyle w:val="FootnoteReference"/>
          <w:rFonts w:ascii="Garamond" w:hAnsi="Garamond"/>
        </w:rPr>
        <w:footnoteReference w:id="32"/>
      </w:r>
      <w:r w:rsidR="00E84BB9" w:rsidRPr="00724947">
        <w:rPr>
          <w:rFonts w:ascii="Garamond" w:hAnsi="Garamond"/>
        </w:rPr>
        <w:t xml:space="preserve"> So, when deciding whether </w:t>
      </w:r>
      <w:r w:rsidRPr="00724947">
        <w:rPr>
          <w:rFonts w:ascii="Garamond" w:hAnsi="Garamond"/>
        </w:rPr>
        <w:t>a</w:t>
      </w:r>
      <w:r w:rsidR="005C6553" w:rsidRPr="00724947">
        <w:rPr>
          <w:rFonts w:ascii="Garamond" w:hAnsi="Garamond"/>
        </w:rPr>
        <w:t>n Act of a devolved Parliament</w:t>
      </w:r>
      <w:r w:rsidRPr="00724947">
        <w:rPr>
          <w:rFonts w:ascii="Garamond" w:hAnsi="Garamond"/>
        </w:rPr>
        <w:t xml:space="preserve"> ‘relates to’ a partic</w:t>
      </w:r>
      <w:r w:rsidR="00E84BB9" w:rsidRPr="00724947">
        <w:rPr>
          <w:rFonts w:ascii="Garamond" w:hAnsi="Garamond"/>
        </w:rPr>
        <w:t xml:space="preserve">ular subject, </w:t>
      </w:r>
      <w:r w:rsidR="005C6553" w:rsidRPr="00724947">
        <w:rPr>
          <w:rFonts w:ascii="Garamond" w:hAnsi="Garamond"/>
        </w:rPr>
        <w:t xml:space="preserve">whether reserved or devolved, </w:t>
      </w:r>
      <w:r w:rsidR="00E84BB9" w:rsidRPr="00724947">
        <w:rPr>
          <w:rFonts w:ascii="Garamond" w:hAnsi="Garamond"/>
        </w:rPr>
        <w:t xml:space="preserve">the court has to divine what it is really about. </w:t>
      </w:r>
    </w:p>
    <w:p w14:paraId="21937EE9" w14:textId="121A570F" w:rsidR="00A92EEC" w:rsidRPr="00724947" w:rsidRDefault="00A92EEC" w:rsidP="00222A1D">
      <w:pPr>
        <w:spacing w:before="120" w:line="360" w:lineRule="auto"/>
        <w:jc w:val="both"/>
        <w:rPr>
          <w:rFonts w:ascii="Garamond" w:hAnsi="Garamond"/>
        </w:rPr>
      </w:pPr>
      <w:r w:rsidRPr="00724947">
        <w:rPr>
          <w:rFonts w:ascii="Garamond" w:hAnsi="Garamond"/>
          <w:i/>
        </w:rPr>
        <w:t xml:space="preserve">Martin v </w:t>
      </w:r>
      <w:r w:rsidR="007F551A" w:rsidRPr="00724947">
        <w:rPr>
          <w:rFonts w:ascii="Garamond" w:hAnsi="Garamond"/>
          <w:i/>
          <w:lang w:val="en-AU"/>
        </w:rPr>
        <w:t>HM Advocate</w:t>
      </w:r>
      <w:r w:rsidRPr="00724947">
        <w:rPr>
          <w:rStyle w:val="FootnoteReference"/>
          <w:rFonts w:ascii="Garamond" w:hAnsi="Garamond"/>
        </w:rPr>
        <w:footnoteReference w:id="33"/>
      </w:r>
      <w:r w:rsidRPr="00724947">
        <w:rPr>
          <w:rFonts w:ascii="Garamond" w:hAnsi="Garamond"/>
          <w:i/>
        </w:rPr>
        <w:t xml:space="preserve"> </w:t>
      </w:r>
      <w:r w:rsidRPr="00724947">
        <w:rPr>
          <w:rFonts w:ascii="Garamond" w:hAnsi="Garamond"/>
        </w:rPr>
        <w:t xml:space="preserve">concerned </w:t>
      </w:r>
      <w:r w:rsidR="005C6553" w:rsidRPr="00724947">
        <w:rPr>
          <w:rFonts w:ascii="Garamond" w:hAnsi="Garamond"/>
        </w:rPr>
        <w:t xml:space="preserve">the Criminal Proceedings (Reform) (Scotland) </w:t>
      </w:r>
      <w:r w:rsidRPr="00724947">
        <w:rPr>
          <w:rFonts w:ascii="Garamond" w:hAnsi="Garamond"/>
        </w:rPr>
        <w:t xml:space="preserve">Act </w:t>
      </w:r>
      <w:r w:rsidR="005C6553" w:rsidRPr="00724947">
        <w:rPr>
          <w:rFonts w:ascii="Garamond" w:hAnsi="Garamond"/>
        </w:rPr>
        <w:t xml:space="preserve">2007. This </w:t>
      </w:r>
      <w:r w:rsidRPr="00724947">
        <w:rPr>
          <w:rFonts w:ascii="Garamond" w:hAnsi="Garamond"/>
        </w:rPr>
        <w:t xml:space="preserve">increased the sentencing powers of Sheriffs </w:t>
      </w:r>
      <w:r w:rsidR="00FE7839" w:rsidRPr="00724947">
        <w:rPr>
          <w:rFonts w:ascii="Garamond" w:hAnsi="Garamond"/>
        </w:rPr>
        <w:t xml:space="preserve">convicting people </w:t>
      </w:r>
      <w:r w:rsidRPr="00724947">
        <w:rPr>
          <w:rFonts w:ascii="Garamond" w:hAnsi="Garamond"/>
        </w:rPr>
        <w:t>summarily (that is, without a jury</w:t>
      </w:r>
      <w:r w:rsidR="00FE7839" w:rsidRPr="00724947">
        <w:rPr>
          <w:rFonts w:ascii="Garamond" w:hAnsi="Garamond"/>
        </w:rPr>
        <w:t xml:space="preserve"> trial</w:t>
      </w:r>
      <w:r w:rsidRPr="00724947">
        <w:rPr>
          <w:rFonts w:ascii="Garamond" w:hAnsi="Garamond"/>
        </w:rPr>
        <w:t>) from six to 12 months’ imprisonment. This applied to all offences, whatever their subject matter. But the effect was to increase the maximum penalty on summary</w:t>
      </w:r>
      <w:r w:rsidR="00A00747" w:rsidRPr="00724947">
        <w:rPr>
          <w:rFonts w:ascii="Garamond" w:hAnsi="Garamond"/>
        </w:rPr>
        <w:t xml:space="preserve"> </w:t>
      </w:r>
      <w:r w:rsidRPr="00724947">
        <w:rPr>
          <w:rFonts w:ascii="Garamond" w:hAnsi="Garamond"/>
        </w:rPr>
        <w:t>conviction for driving whilst disqualified from six to 12 months</w:t>
      </w:r>
      <w:r w:rsidR="00A00747" w:rsidRPr="00724947">
        <w:rPr>
          <w:rFonts w:ascii="Garamond" w:hAnsi="Garamond"/>
        </w:rPr>
        <w:t>’</w:t>
      </w:r>
      <w:r w:rsidRPr="00724947">
        <w:rPr>
          <w:rFonts w:ascii="Garamond" w:hAnsi="Garamond"/>
        </w:rPr>
        <w:t xml:space="preserve"> imprisonment. This was contrary to the UK Road Traffic Act</w:t>
      </w:r>
      <w:r w:rsidR="006B4F92" w:rsidRPr="00724947">
        <w:rPr>
          <w:rFonts w:ascii="Garamond" w:hAnsi="Garamond"/>
          <w:lang w:val="en-AU"/>
        </w:rPr>
        <w:t xml:space="preserve"> 1988</w:t>
      </w:r>
      <w:r w:rsidRPr="00724947">
        <w:rPr>
          <w:rFonts w:ascii="Garamond" w:hAnsi="Garamond"/>
        </w:rPr>
        <w:t xml:space="preserve">, which provides </w:t>
      </w:r>
      <w:r w:rsidR="00470779" w:rsidRPr="00724947">
        <w:rPr>
          <w:rFonts w:ascii="Garamond" w:hAnsi="Garamond"/>
        </w:rPr>
        <w:t xml:space="preserve">for </w:t>
      </w:r>
      <w:r w:rsidRPr="00724947">
        <w:rPr>
          <w:rFonts w:ascii="Garamond" w:hAnsi="Garamond"/>
        </w:rPr>
        <w:t>a maximum penalty of six months on summary conviction.</w:t>
      </w:r>
      <w:r w:rsidR="006B4F92" w:rsidRPr="00724947">
        <w:rPr>
          <w:rStyle w:val="FootnoteReference"/>
          <w:rFonts w:ascii="Garamond" w:hAnsi="Garamond"/>
          <w:lang w:val="en-AU"/>
        </w:rPr>
        <w:footnoteReference w:id="34"/>
      </w:r>
      <w:r w:rsidRPr="00724947">
        <w:rPr>
          <w:rFonts w:ascii="Garamond" w:hAnsi="Garamond"/>
        </w:rPr>
        <w:t xml:space="preserve"> Road traffic is a reserved </w:t>
      </w:r>
      <w:r w:rsidR="005C6553" w:rsidRPr="00724947">
        <w:rPr>
          <w:rFonts w:ascii="Garamond" w:hAnsi="Garamond"/>
        </w:rPr>
        <w:t>matter</w:t>
      </w:r>
      <w:r w:rsidRPr="00724947">
        <w:rPr>
          <w:rFonts w:ascii="Garamond" w:hAnsi="Garamond"/>
        </w:rPr>
        <w:t xml:space="preserve">. So did this ‘relate to’ </w:t>
      </w:r>
      <w:r w:rsidR="005C6553" w:rsidRPr="00724947">
        <w:rPr>
          <w:rFonts w:ascii="Garamond" w:hAnsi="Garamond"/>
        </w:rPr>
        <w:t>road traffic</w:t>
      </w:r>
      <w:r w:rsidRPr="00724947">
        <w:rPr>
          <w:rFonts w:ascii="Garamond" w:hAnsi="Garamond"/>
        </w:rPr>
        <w:t>? Th</w:t>
      </w:r>
      <w:r w:rsidR="005C6553" w:rsidRPr="00724947">
        <w:rPr>
          <w:rFonts w:ascii="Garamond" w:hAnsi="Garamond"/>
        </w:rPr>
        <w:t xml:space="preserve">e question </w:t>
      </w:r>
      <w:r w:rsidRPr="00724947">
        <w:rPr>
          <w:rFonts w:ascii="Garamond" w:hAnsi="Garamond"/>
        </w:rPr>
        <w:t>is to be determined by reference to the purpose of the legislation, having regard to (among other things) its effect in all the circumstances.</w:t>
      </w:r>
      <w:r w:rsidRPr="00724947">
        <w:rPr>
          <w:rStyle w:val="FootnoteReference"/>
          <w:rFonts w:ascii="Garamond" w:hAnsi="Garamond"/>
        </w:rPr>
        <w:footnoteReference w:id="35"/>
      </w:r>
      <w:r w:rsidRPr="00724947">
        <w:rPr>
          <w:rFonts w:ascii="Garamond" w:hAnsi="Garamond"/>
        </w:rPr>
        <w:t xml:space="preserve"> The Supreme Court held that </w:t>
      </w:r>
      <w:r w:rsidR="005C6553" w:rsidRPr="00724947">
        <w:rPr>
          <w:rFonts w:ascii="Garamond" w:hAnsi="Garamond"/>
        </w:rPr>
        <w:t>the Act</w:t>
      </w:r>
      <w:r w:rsidRPr="00724947">
        <w:rPr>
          <w:rFonts w:ascii="Garamond" w:hAnsi="Garamond"/>
        </w:rPr>
        <w:t xml:space="preserve"> did </w:t>
      </w:r>
      <w:r w:rsidRPr="00724947">
        <w:rPr>
          <w:rFonts w:ascii="Garamond" w:hAnsi="Garamond"/>
          <w:i/>
        </w:rPr>
        <w:t>not</w:t>
      </w:r>
      <w:r w:rsidRPr="00724947">
        <w:rPr>
          <w:rFonts w:ascii="Garamond" w:hAnsi="Garamond"/>
        </w:rPr>
        <w:t xml:space="preserve"> relate to a reserved area. Its purpose was to relieve pressure on the higher courts in all kinds of criminal cases. </w:t>
      </w:r>
    </w:p>
    <w:p w14:paraId="53A7FCC3" w14:textId="5180DE63" w:rsidR="00A92EEC" w:rsidRPr="00724947" w:rsidRDefault="00A92EEC" w:rsidP="00222A1D">
      <w:pPr>
        <w:spacing w:before="120" w:line="360" w:lineRule="auto"/>
        <w:jc w:val="both"/>
        <w:rPr>
          <w:rFonts w:ascii="Garamond" w:hAnsi="Garamond"/>
        </w:rPr>
      </w:pPr>
      <w:r w:rsidRPr="00724947">
        <w:rPr>
          <w:rFonts w:ascii="Garamond" w:hAnsi="Garamond"/>
        </w:rPr>
        <w:lastRenderedPageBreak/>
        <w:t xml:space="preserve">But an Act of the Scottish Parliament cannot modify a rule of Scots private or criminal law insofar as </w:t>
      </w:r>
      <w:r w:rsidR="00A00747" w:rsidRPr="00724947">
        <w:rPr>
          <w:rFonts w:ascii="Garamond" w:hAnsi="Garamond"/>
        </w:rPr>
        <w:t>that rule</w:t>
      </w:r>
      <w:r w:rsidRPr="00724947">
        <w:rPr>
          <w:rFonts w:ascii="Garamond" w:hAnsi="Garamond"/>
        </w:rPr>
        <w:t xml:space="preserve"> is ‘special to’ a reserved matter.</w:t>
      </w:r>
      <w:r w:rsidRPr="00724947">
        <w:rPr>
          <w:rStyle w:val="FootnoteReference"/>
          <w:rFonts w:ascii="Garamond" w:hAnsi="Garamond"/>
        </w:rPr>
        <w:footnoteReference w:id="36"/>
      </w:r>
      <w:r w:rsidRPr="00724947">
        <w:rPr>
          <w:rFonts w:ascii="Garamond" w:hAnsi="Garamond"/>
        </w:rPr>
        <w:t xml:space="preserve"> Lord Hope </w:t>
      </w:r>
      <w:r w:rsidR="001A18A5" w:rsidRPr="00724947">
        <w:rPr>
          <w:rFonts w:ascii="Garamond" w:hAnsi="Garamond"/>
        </w:rPr>
        <w:t xml:space="preserve">(in the majority) </w:t>
      </w:r>
      <w:r w:rsidRPr="00724947">
        <w:rPr>
          <w:rFonts w:ascii="Garamond" w:hAnsi="Garamond"/>
        </w:rPr>
        <w:t>thought that the rule of Scot</w:t>
      </w:r>
      <w:r w:rsidR="00734036" w:rsidRPr="00724947">
        <w:rPr>
          <w:rFonts w:ascii="Garamond" w:hAnsi="Garamond"/>
        </w:rPr>
        <w:t>s</w:t>
      </w:r>
      <w:r w:rsidRPr="00724947">
        <w:rPr>
          <w:rFonts w:ascii="Garamond" w:hAnsi="Garamond"/>
        </w:rPr>
        <w:t xml:space="preserve"> law being modified was a rule of procedure and this was not ‘special to’ the reserved matter of road traffic.</w:t>
      </w:r>
      <w:r w:rsidR="006B4F92" w:rsidRPr="00724947">
        <w:rPr>
          <w:rStyle w:val="FootnoteReference"/>
          <w:rFonts w:ascii="Garamond" w:hAnsi="Garamond"/>
          <w:lang w:val="en-AU"/>
        </w:rPr>
        <w:footnoteReference w:id="37"/>
      </w:r>
      <w:r w:rsidRPr="00724947">
        <w:rPr>
          <w:rFonts w:ascii="Garamond" w:hAnsi="Garamond"/>
        </w:rPr>
        <w:t xml:space="preserve"> Lord Rodger </w:t>
      </w:r>
      <w:r w:rsidR="001A18A5" w:rsidRPr="00724947">
        <w:rPr>
          <w:rFonts w:ascii="Garamond" w:hAnsi="Garamond"/>
        </w:rPr>
        <w:t xml:space="preserve">(in the minority) </w:t>
      </w:r>
      <w:r w:rsidRPr="00724947">
        <w:rPr>
          <w:rFonts w:ascii="Garamond" w:hAnsi="Garamond"/>
        </w:rPr>
        <w:t>thought that the rule of Scot</w:t>
      </w:r>
      <w:r w:rsidR="00734036" w:rsidRPr="00724947">
        <w:rPr>
          <w:rFonts w:ascii="Garamond" w:hAnsi="Garamond"/>
        </w:rPr>
        <w:t>s</w:t>
      </w:r>
      <w:r w:rsidRPr="00724947">
        <w:rPr>
          <w:rFonts w:ascii="Garamond" w:hAnsi="Garamond"/>
        </w:rPr>
        <w:t xml:space="preserve"> law being modified was the rule about the maximum sentence on summary conviction for driving whilst disqualified. This in his view was clearly ‘special to’ the reserved matter of road traffic.</w:t>
      </w:r>
      <w:r w:rsidR="006B4F92" w:rsidRPr="00724947">
        <w:rPr>
          <w:rStyle w:val="FootnoteReference"/>
          <w:rFonts w:ascii="Garamond" w:hAnsi="Garamond"/>
          <w:lang w:val="en-AU"/>
        </w:rPr>
        <w:footnoteReference w:id="38"/>
      </w:r>
      <w:r w:rsidRPr="00724947">
        <w:rPr>
          <w:rFonts w:ascii="Garamond" w:hAnsi="Garamond"/>
        </w:rPr>
        <w:t xml:space="preserve"> </w:t>
      </w:r>
      <w:r w:rsidR="00470779" w:rsidRPr="00724947">
        <w:rPr>
          <w:rFonts w:ascii="Garamond" w:hAnsi="Garamond"/>
        </w:rPr>
        <w:t>He did not mince his words.</w:t>
      </w:r>
    </w:p>
    <w:p w14:paraId="6307973F" w14:textId="06EF39BD" w:rsidR="00A92EEC" w:rsidRPr="00724947" w:rsidRDefault="00A92EEC" w:rsidP="00222A1D">
      <w:pPr>
        <w:spacing w:before="120" w:line="360" w:lineRule="auto"/>
        <w:jc w:val="both"/>
        <w:rPr>
          <w:rFonts w:ascii="Garamond" w:hAnsi="Garamond"/>
        </w:rPr>
      </w:pPr>
      <w:r w:rsidRPr="00724947">
        <w:rPr>
          <w:rFonts w:ascii="Garamond" w:hAnsi="Garamond"/>
        </w:rPr>
        <w:t xml:space="preserve">These </w:t>
      </w:r>
      <w:r w:rsidR="001A18A5" w:rsidRPr="00724947">
        <w:rPr>
          <w:rFonts w:ascii="Garamond" w:hAnsi="Garamond"/>
        </w:rPr>
        <w:t xml:space="preserve">were </w:t>
      </w:r>
      <w:r w:rsidRPr="00724947">
        <w:rPr>
          <w:rFonts w:ascii="Garamond" w:hAnsi="Garamond"/>
        </w:rPr>
        <w:t xml:space="preserve">real cases involving real litigants, coming up from the lower courts in the usual way. But the Law Officers in each part of the United Kingdom </w:t>
      </w:r>
      <w:r w:rsidR="001A18A5" w:rsidRPr="00724947">
        <w:rPr>
          <w:rFonts w:ascii="Garamond" w:hAnsi="Garamond"/>
        </w:rPr>
        <w:t>can</w:t>
      </w:r>
      <w:r w:rsidRPr="00724947">
        <w:rPr>
          <w:rFonts w:ascii="Garamond" w:hAnsi="Garamond"/>
        </w:rPr>
        <w:t xml:space="preserve"> refer Bills</w:t>
      </w:r>
      <w:r w:rsidR="001A18A5" w:rsidRPr="00724947">
        <w:rPr>
          <w:rFonts w:ascii="Garamond" w:hAnsi="Garamond"/>
        </w:rPr>
        <w:t xml:space="preserve">, after they are passed by a devolved Parliament but before they are sent for Royal Assent, </w:t>
      </w:r>
      <w:r w:rsidRPr="00724947">
        <w:rPr>
          <w:rFonts w:ascii="Garamond" w:hAnsi="Garamond"/>
        </w:rPr>
        <w:t xml:space="preserve">to the Supreme Court, for </w:t>
      </w:r>
      <w:r w:rsidR="00C544A3" w:rsidRPr="00724947">
        <w:rPr>
          <w:rFonts w:ascii="Garamond" w:hAnsi="Garamond"/>
        </w:rPr>
        <w:t xml:space="preserve">a ruling </w:t>
      </w:r>
      <w:r w:rsidRPr="00724947">
        <w:rPr>
          <w:rFonts w:ascii="Garamond" w:hAnsi="Garamond"/>
        </w:rPr>
        <w:t xml:space="preserve">on whether or not they are within the scope of the Parliament’s powers. This sort of abstract review is very new to us. </w:t>
      </w:r>
      <w:r w:rsidR="00E22335" w:rsidRPr="00724947">
        <w:rPr>
          <w:rFonts w:ascii="Garamond" w:hAnsi="Garamond"/>
        </w:rPr>
        <w:t>We have had</w:t>
      </w:r>
      <w:r w:rsidRPr="00724947">
        <w:rPr>
          <w:rFonts w:ascii="Garamond" w:hAnsi="Garamond"/>
        </w:rPr>
        <w:t xml:space="preserve"> no such references </w:t>
      </w:r>
      <w:r w:rsidR="00E22335" w:rsidRPr="00724947">
        <w:rPr>
          <w:rFonts w:ascii="Garamond" w:hAnsi="Garamond"/>
        </w:rPr>
        <w:t>from Scotland</w:t>
      </w:r>
      <w:r w:rsidRPr="00724947">
        <w:rPr>
          <w:rFonts w:ascii="Garamond" w:hAnsi="Garamond"/>
        </w:rPr>
        <w:t>. This may be because the officials have been able to sort thing</w:t>
      </w:r>
      <w:r w:rsidR="00734036" w:rsidRPr="00724947">
        <w:rPr>
          <w:rFonts w:ascii="Garamond" w:hAnsi="Garamond"/>
        </w:rPr>
        <w:t>s</w:t>
      </w:r>
      <w:r w:rsidRPr="00724947">
        <w:rPr>
          <w:rFonts w:ascii="Garamond" w:hAnsi="Garamond"/>
        </w:rPr>
        <w:t xml:space="preserve"> out to the satisfaction of both the Scottish and the UK governments</w:t>
      </w:r>
      <w:r w:rsidR="00470779" w:rsidRPr="00724947">
        <w:rPr>
          <w:rFonts w:ascii="Garamond" w:hAnsi="Garamond"/>
        </w:rPr>
        <w:t xml:space="preserve">; or it </w:t>
      </w:r>
      <w:r w:rsidR="00C544A3" w:rsidRPr="00724947">
        <w:rPr>
          <w:rFonts w:ascii="Garamond" w:hAnsi="Garamond"/>
        </w:rPr>
        <w:t>may</w:t>
      </w:r>
      <w:r w:rsidR="00470779" w:rsidRPr="00724947">
        <w:rPr>
          <w:rFonts w:ascii="Garamond" w:hAnsi="Garamond"/>
        </w:rPr>
        <w:t xml:space="preserve"> be</w:t>
      </w:r>
      <w:r w:rsidRPr="00724947">
        <w:rPr>
          <w:rFonts w:ascii="Garamond" w:hAnsi="Garamond"/>
        </w:rPr>
        <w:t xml:space="preserve"> because a reference by the UK government would be seen as a hostile act by the Scottish </w:t>
      </w:r>
      <w:r w:rsidR="006B4F92" w:rsidRPr="00724947">
        <w:rPr>
          <w:rFonts w:ascii="Garamond" w:hAnsi="Garamond"/>
          <w:lang w:val="en-AU"/>
        </w:rPr>
        <w:t>G</w:t>
      </w:r>
      <w:r w:rsidR="00A76EB1" w:rsidRPr="00724947">
        <w:rPr>
          <w:rFonts w:ascii="Garamond" w:hAnsi="Garamond"/>
          <w:lang w:val="en-AU"/>
        </w:rPr>
        <w:t>overnment</w:t>
      </w:r>
      <w:r w:rsidRPr="00724947">
        <w:rPr>
          <w:rFonts w:ascii="Garamond" w:hAnsi="Garamond"/>
        </w:rPr>
        <w:t xml:space="preserve"> and Parliament. </w:t>
      </w:r>
      <w:r w:rsidR="00484404" w:rsidRPr="00724947">
        <w:rPr>
          <w:rFonts w:ascii="Garamond" w:hAnsi="Garamond"/>
        </w:rPr>
        <w:t xml:space="preserve">(Whether the politics of this will remain the same after the recommendations of the Smith Commission have been implemented remains to be seen.) </w:t>
      </w:r>
      <w:r w:rsidRPr="00724947">
        <w:rPr>
          <w:rFonts w:ascii="Garamond" w:hAnsi="Garamond"/>
        </w:rPr>
        <w:t>Curiously, however, there have been no less than three references since the Welsh Assembly obtained full legislative powers in 2011.</w:t>
      </w:r>
      <w:r w:rsidR="00270456" w:rsidRPr="00724947">
        <w:rPr>
          <w:rStyle w:val="FootnoteReference"/>
          <w:rFonts w:ascii="Garamond" w:hAnsi="Garamond"/>
          <w:lang w:val="en-AU"/>
        </w:rPr>
        <w:footnoteReference w:id="39"/>
      </w:r>
      <w:r w:rsidRPr="00724947">
        <w:rPr>
          <w:rFonts w:ascii="Garamond" w:hAnsi="Garamond"/>
        </w:rPr>
        <w:t xml:space="preserve"> </w:t>
      </w:r>
    </w:p>
    <w:p w14:paraId="6DC63003" w14:textId="5969751D" w:rsidR="00A92EEC" w:rsidRPr="00724947" w:rsidRDefault="00A92EEC" w:rsidP="00222A1D">
      <w:pPr>
        <w:spacing w:before="120" w:line="360" w:lineRule="auto"/>
        <w:jc w:val="both"/>
        <w:rPr>
          <w:rFonts w:ascii="Garamond" w:hAnsi="Garamond"/>
        </w:rPr>
      </w:pPr>
      <w:r w:rsidRPr="00724947">
        <w:rPr>
          <w:rFonts w:ascii="Garamond" w:hAnsi="Garamond"/>
        </w:rPr>
        <w:t xml:space="preserve">Two of these have been brought by the Attorney General on behalf of the UK government. The first </w:t>
      </w:r>
      <w:r w:rsidR="00C544A3" w:rsidRPr="00724947">
        <w:rPr>
          <w:rFonts w:ascii="Garamond" w:hAnsi="Garamond"/>
        </w:rPr>
        <w:t>concerned</w:t>
      </w:r>
      <w:r w:rsidRPr="00724947">
        <w:rPr>
          <w:rFonts w:ascii="Garamond" w:hAnsi="Garamond"/>
        </w:rPr>
        <w:t xml:space="preserve"> the very first Bill to be passed by the Welsh Assembly, the excitingly named Local Government Bye-Laws (Wales) Bill 2012. The Supreme Court held that it was within the scope of the Assembly’s powers.</w:t>
      </w:r>
      <w:r w:rsidRPr="00724947">
        <w:rPr>
          <w:rStyle w:val="FootnoteReference"/>
          <w:rFonts w:ascii="Garamond" w:hAnsi="Garamond"/>
        </w:rPr>
        <w:footnoteReference w:id="40"/>
      </w:r>
      <w:r w:rsidR="0018478A" w:rsidRPr="00724947">
        <w:rPr>
          <w:rFonts w:ascii="Garamond" w:hAnsi="Garamond"/>
        </w:rPr>
        <w:t xml:space="preserve"> </w:t>
      </w:r>
      <w:r w:rsidR="00E22335" w:rsidRPr="00724947">
        <w:rPr>
          <w:rFonts w:ascii="Garamond" w:hAnsi="Garamond"/>
        </w:rPr>
        <w:t>More important was t</w:t>
      </w:r>
      <w:r w:rsidRPr="00724947">
        <w:rPr>
          <w:rFonts w:ascii="Garamond" w:hAnsi="Garamond"/>
        </w:rPr>
        <w:t>he second</w:t>
      </w:r>
      <w:r w:rsidR="00E22335" w:rsidRPr="00724947">
        <w:rPr>
          <w:rFonts w:ascii="Garamond" w:hAnsi="Garamond"/>
        </w:rPr>
        <w:t>,</w:t>
      </w:r>
      <w:r w:rsidRPr="00724947">
        <w:rPr>
          <w:rFonts w:ascii="Garamond" w:hAnsi="Garamond"/>
        </w:rPr>
        <w:t xml:space="preserve"> </w:t>
      </w:r>
      <w:r w:rsidR="00C544A3" w:rsidRPr="00724947">
        <w:rPr>
          <w:rFonts w:ascii="Garamond" w:hAnsi="Garamond"/>
        </w:rPr>
        <w:t xml:space="preserve">concerning </w:t>
      </w:r>
      <w:r w:rsidRPr="00724947">
        <w:rPr>
          <w:rFonts w:ascii="Garamond" w:hAnsi="Garamond"/>
        </w:rPr>
        <w:t>the Agricultural Sector</w:t>
      </w:r>
      <w:r w:rsidR="00E22335" w:rsidRPr="00724947">
        <w:rPr>
          <w:rFonts w:ascii="Garamond" w:hAnsi="Garamond"/>
        </w:rPr>
        <w:t xml:space="preserve"> (Wales) Bill 2013.</w:t>
      </w:r>
      <w:r w:rsidRPr="00724947">
        <w:rPr>
          <w:rFonts w:ascii="Garamond" w:hAnsi="Garamond"/>
        </w:rPr>
        <w:t xml:space="preserve"> </w:t>
      </w:r>
      <w:r w:rsidR="00734036" w:rsidRPr="00724947">
        <w:rPr>
          <w:rFonts w:ascii="Garamond" w:hAnsi="Garamond"/>
        </w:rPr>
        <w:t xml:space="preserve">The UK Parliament had abolished the system of controlling minimum agricultural wages in England and Wales, and this Bill reinstated something very like it for Wales. </w:t>
      </w:r>
      <w:r w:rsidR="00E22335" w:rsidRPr="00724947">
        <w:rPr>
          <w:rFonts w:ascii="Garamond" w:hAnsi="Garamond"/>
        </w:rPr>
        <w:t>Did this relate</w:t>
      </w:r>
      <w:r w:rsidRPr="00724947">
        <w:rPr>
          <w:rFonts w:ascii="Garamond" w:hAnsi="Garamond"/>
        </w:rPr>
        <w:t xml:space="preserve"> to </w:t>
      </w:r>
      <w:r w:rsidR="00E22335" w:rsidRPr="00724947">
        <w:rPr>
          <w:rFonts w:ascii="Garamond" w:hAnsi="Garamond"/>
        </w:rPr>
        <w:t>‘</w:t>
      </w:r>
      <w:r w:rsidRPr="00724947">
        <w:rPr>
          <w:rFonts w:ascii="Garamond" w:hAnsi="Garamond"/>
        </w:rPr>
        <w:t>agriculture</w:t>
      </w:r>
      <w:r w:rsidR="00E22335" w:rsidRPr="00724947">
        <w:rPr>
          <w:rFonts w:ascii="Garamond" w:hAnsi="Garamond"/>
        </w:rPr>
        <w:t>’</w:t>
      </w:r>
      <w:r w:rsidRPr="00724947">
        <w:rPr>
          <w:rFonts w:ascii="Garamond" w:hAnsi="Garamond"/>
        </w:rPr>
        <w:t>, which is devolved, or to employment and industrial relations</w:t>
      </w:r>
      <w:r w:rsidR="00E22335" w:rsidRPr="00724947">
        <w:rPr>
          <w:rFonts w:ascii="Garamond" w:hAnsi="Garamond"/>
        </w:rPr>
        <w:t>,</w:t>
      </w:r>
      <w:r w:rsidRPr="00724947">
        <w:rPr>
          <w:rFonts w:ascii="Garamond" w:hAnsi="Garamond"/>
        </w:rPr>
        <w:t xml:space="preserve"> which is not mentioned at all in the lists</w:t>
      </w:r>
      <w:r w:rsidR="00E22335" w:rsidRPr="00724947">
        <w:rPr>
          <w:rFonts w:ascii="Garamond" w:hAnsi="Garamond"/>
        </w:rPr>
        <w:t xml:space="preserve"> in the Government of Wales Act?</w:t>
      </w:r>
      <w:r w:rsidRPr="00724947">
        <w:rPr>
          <w:rFonts w:ascii="Garamond" w:hAnsi="Garamond"/>
        </w:rPr>
        <w:t xml:space="preserve"> We held that it did relate to agriculture, and </w:t>
      </w:r>
      <w:r w:rsidR="002B7768" w:rsidRPr="00724947">
        <w:rPr>
          <w:rFonts w:ascii="Garamond" w:hAnsi="Garamond"/>
        </w:rPr>
        <w:t xml:space="preserve">that </w:t>
      </w:r>
      <w:r w:rsidRPr="00724947">
        <w:rPr>
          <w:rFonts w:ascii="Garamond" w:hAnsi="Garamond"/>
        </w:rPr>
        <w:t xml:space="preserve">it did not matter whether it also related to employment and industrial relations, </w:t>
      </w:r>
      <w:r w:rsidR="00C544A3" w:rsidRPr="00724947">
        <w:rPr>
          <w:rFonts w:ascii="Garamond" w:hAnsi="Garamond"/>
        </w:rPr>
        <w:t xml:space="preserve">as these were not expressly excluded, </w:t>
      </w:r>
      <w:r w:rsidRPr="00724947">
        <w:rPr>
          <w:rFonts w:ascii="Garamond" w:hAnsi="Garamond"/>
        </w:rPr>
        <w:t>and so the Bill was within scope.</w:t>
      </w:r>
      <w:r w:rsidRPr="00724947">
        <w:rPr>
          <w:rStyle w:val="FootnoteReference"/>
          <w:rFonts w:ascii="Garamond" w:hAnsi="Garamond"/>
        </w:rPr>
        <w:footnoteReference w:id="41"/>
      </w:r>
      <w:r w:rsidRPr="00724947">
        <w:rPr>
          <w:rFonts w:ascii="Garamond" w:hAnsi="Garamond"/>
        </w:rPr>
        <w:t xml:space="preserve"> </w:t>
      </w:r>
    </w:p>
    <w:p w14:paraId="22466DF6" w14:textId="0396C80E" w:rsidR="00A92EEC" w:rsidRPr="00724947" w:rsidRDefault="00CD3B84" w:rsidP="00222A1D">
      <w:pPr>
        <w:spacing w:before="120" w:line="360" w:lineRule="auto"/>
        <w:jc w:val="both"/>
        <w:rPr>
          <w:rFonts w:ascii="Garamond" w:hAnsi="Garamond"/>
        </w:rPr>
      </w:pPr>
      <w:r w:rsidRPr="00724947">
        <w:rPr>
          <w:rFonts w:ascii="Garamond" w:hAnsi="Garamond"/>
        </w:rPr>
        <w:t>The third reference wa</w:t>
      </w:r>
      <w:r w:rsidR="00A92EEC" w:rsidRPr="00724947">
        <w:rPr>
          <w:rFonts w:ascii="Garamond" w:hAnsi="Garamond"/>
        </w:rPr>
        <w:t>s by the Counsel General for Wales (the Wel</w:t>
      </w:r>
      <w:r w:rsidRPr="00724947">
        <w:rPr>
          <w:rFonts w:ascii="Garamond" w:hAnsi="Garamond"/>
        </w:rPr>
        <w:t>sh Attorney General).</w:t>
      </w:r>
      <w:r w:rsidR="00C544A3" w:rsidRPr="00724947">
        <w:rPr>
          <w:rStyle w:val="FootnoteReference"/>
          <w:rFonts w:ascii="Garamond" w:hAnsi="Garamond"/>
        </w:rPr>
        <w:footnoteReference w:id="42"/>
      </w:r>
      <w:r w:rsidRPr="00724947">
        <w:rPr>
          <w:rFonts w:ascii="Garamond" w:hAnsi="Garamond"/>
        </w:rPr>
        <w:t xml:space="preserve"> It </w:t>
      </w:r>
      <w:r w:rsidR="00C544A3" w:rsidRPr="00724947">
        <w:rPr>
          <w:rFonts w:ascii="Garamond" w:hAnsi="Garamond"/>
        </w:rPr>
        <w:t>concerned</w:t>
      </w:r>
      <w:r w:rsidR="00A92EEC" w:rsidRPr="00724947">
        <w:rPr>
          <w:rFonts w:ascii="Garamond" w:hAnsi="Garamond"/>
        </w:rPr>
        <w:t xml:space="preserve"> </w:t>
      </w:r>
      <w:r w:rsidR="0018478A" w:rsidRPr="00724947">
        <w:rPr>
          <w:rFonts w:ascii="Garamond" w:hAnsi="Garamond"/>
        </w:rPr>
        <w:t>the Recovery of Medical Costs for Asbestos Diseases (Wales) Bill,</w:t>
      </w:r>
      <w:r w:rsidR="0018478A" w:rsidRPr="00724947">
        <w:rPr>
          <w:rFonts w:ascii="Garamond" w:hAnsi="Garamond"/>
          <w:i/>
        </w:rPr>
        <w:t xml:space="preserve"> </w:t>
      </w:r>
      <w:r w:rsidR="00A92EEC" w:rsidRPr="00724947">
        <w:rPr>
          <w:rFonts w:ascii="Garamond" w:hAnsi="Garamond"/>
        </w:rPr>
        <w:t>a private member’s Bill</w:t>
      </w:r>
      <w:r w:rsidR="00E22335" w:rsidRPr="00724947">
        <w:rPr>
          <w:rFonts w:ascii="Garamond" w:hAnsi="Garamond"/>
        </w:rPr>
        <w:t xml:space="preserve"> making</w:t>
      </w:r>
      <w:r w:rsidR="00A92EEC" w:rsidRPr="00724947">
        <w:rPr>
          <w:rFonts w:ascii="Garamond" w:hAnsi="Garamond"/>
        </w:rPr>
        <w:t xml:space="preserve"> employers and their insurers pay the cos</w:t>
      </w:r>
      <w:r w:rsidR="002B7768" w:rsidRPr="00724947">
        <w:rPr>
          <w:rFonts w:ascii="Garamond" w:hAnsi="Garamond"/>
        </w:rPr>
        <w:t>t of NHS treatment for asbestos-</w:t>
      </w:r>
      <w:r w:rsidR="00A92EEC" w:rsidRPr="00724947">
        <w:rPr>
          <w:rFonts w:ascii="Garamond" w:hAnsi="Garamond"/>
        </w:rPr>
        <w:t xml:space="preserve">related diseases caused by the </w:t>
      </w:r>
      <w:r w:rsidR="00A92EEC" w:rsidRPr="00724947">
        <w:rPr>
          <w:rFonts w:ascii="Garamond" w:hAnsi="Garamond"/>
        </w:rPr>
        <w:lastRenderedPageBreak/>
        <w:t xml:space="preserve">employers’ breach of </w:t>
      </w:r>
      <w:r w:rsidRPr="00724947">
        <w:rPr>
          <w:rFonts w:ascii="Garamond" w:hAnsi="Garamond"/>
        </w:rPr>
        <w:t xml:space="preserve">duty. </w:t>
      </w:r>
      <w:r w:rsidR="00F531CB" w:rsidRPr="00724947">
        <w:rPr>
          <w:rFonts w:ascii="Garamond" w:hAnsi="Garamond"/>
        </w:rPr>
        <w:t xml:space="preserve">The Counsel General thought that it was within scope, but he knew that the Association of British Insurers proposed to challenge this, so he made the reference rather than wait for a case to trundle up through the courts in the usual way (as the </w:t>
      </w:r>
      <w:r w:rsidR="00F531CB" w:rsidRPr="00724947">
        <w:rPr>
          <w:rFonts w:ascii="Garamond" w:hAnsi="Garamond"/>
          <w:i/>
        </w:rPr>
        <w:t>AXA</w:t>
      </w:r>
      <w:r w:rsidR="00F531CB" w:rsidRPr="00724947">
        <w:rPr>
          <w:rFonts w:ascii="Garamond" w:hAnsi="Garamond"/>
        </w:rPr>
        <w:t xml:space="preserve"> case had done). </w:t>
      </w:r>
      <w:r w:rsidR="00734036" w:rsidRPr="00724947">
        <w:rPr>
          <w:rFonts w:ascii="Garamond" w:hAnsi="Garamond"/>
        </w:rPr>
        <w:t>The challenge was</w:t>
      </w:r>
      <w:r w:rsidRPr="00724947">
        <w:rPr>
          <w:rFonts w:ascii="Garamond" w:hAnsi="Garamond"/>
        </w:rPr>
        <w:t xml:space="preserve"> </w:t>
      </w:r>
      <w:r w:rsidR="00A92EEC" w:rsidRPr="00724947">
        <w:rPr>
          <w:rFonts w:ascii="Garamond" w:hAnsi="Garamond"/>
        </w:rPr>
        <w:t xml:space="preserve">partly </w:t>
      </w:r>
      <w:r w:rsidRPr="00724947">
        <w:rPr>
          <w:rFonts w:ascii="Garamond" w:hAnsi="Garamond"/>
        </w:rPr>
        <w:t xml:space="preserve">on the ground that </w:t>
      </w:r>
      <w:r w:rsidR="00734036" w:rsidRPr="00724947">
        <w:rPr>
          <w:rFonts w:ascii="Garamond" w:hAnsi="Garamond"/>
        </w:rPr>
        <w:t>the Bill</w:t>
      </w:r>
      <w:r w:rsidRPr="00724947">
        <w:rPr>
          <w:rFonts w:ascii="Garamond" w:hAnsi="Garamond"/>
        </w:rPr>
        <w:t xml:space="preserve"> was a retrospective interference</w:t>
      </w:r>
      <w:r w:rsidR="00A92EEC" w:rsidRPr="00724947">
        <w:rPr>
          <w:rFonts w:ascii="Garamond" w:hAnsi="Garamond"/>
        </w:rPr>
        <w:t xml:space="preserve"> with their </w:t>
      </w:r>
      <w:r w:rsidRPr="00724947">
        <w:rPr>
          <w:rFonts w:ascii="Garamond" w:hAnsi="Garamond"/>
        </w:rPr>
        <w:t>property rights</w:t>
      </w:r>
      <w:r w:rsidR="00A92EEC" w:rsidRPr="00724947">
        <w:rPr>
          <w:rFonts w:ascii="Garamond" w:hAnsi="Garamond"/>
        </w:rPr>
        <w:t xml:space="preserve"> and partly </w:t>
      </w:r>
      <w:r w:rsidRPr="00724947">
        <w:rPr>
          <w:rFonts w:ascii="Garamond" w:hAnsi="Garamond"/>
        </w:rPr>
        <w:t>on the ground that</w:t>
      </w:r>
      <w:r w:rsidR="00E22335" w:rsidRPr="00724947">
        <w:rPr>
          <w:rFonts w:ascii="Garamond" w:hAnsi="Garamond"/>
        </w:rPr>
        <w:t xml:space="preserve"> </w:t>
      </w:r>
      <w:r w:rsidR="00A92EEC" w:rsidRPr="00724947">
        <w:rPr>
          <w:rFonts w:ascii="Garamond" w:hAnsi="Garamond"/>
        </w:rPr>
        <w:t>it d</w:t>
      </w:r>
      <w:r w:rsidRPr="00724947">
        <w:rPr>
          <w:rFonts w:ascii="Garamond" w:hAnsi="Garamond"/>
        </w:rPr>
        <w:t>id</w:t>
      </w:r>
      <w:r w:rsidR="00A92EEC" w:rsidRPr="00724947">
        <w:rPr>
          <w:rFonts w:ascii="Garamond" w:hAnsi="Garamond"/>
        </w:rPr>
        <w:t xml:space="preserve"> not relate to </w:t>
      </w:r>
      <w:r w:rsidR="00E22335" w:rsidRPr="00724947">
        <w:rPr>
          <w:rFonts w:ascii="Garamond" w:hAnsi="Garamond"/>
        </w:rPr>
        <w:t>‘</w:t>
      </w:r>
      <w:r w:rsidR="00A92EEC" w:rsidRPr="00724947">
        <w:rPr>
          <w:rFonts w:ascii="Garamond" w:hAnsi="Garamond"/>
        </w:rPr>
        <w:t>funding for the NHS in Wales</w:t>
      </w:r>
      <w:r w:rsidR="00E22335" w:rsidRPr="00724947">
        <w:rPr>
          <w:rFonts w:ascii="Garamond" w:hAnsi="Garamond"/>
        </w:rPr>
        <w:t xml:space="preserve">’ which is </w:t>
      </w:r>
      <w:r w:rsidR="009E1305" w:rsidRPr="00724947">
        <w:rPr>
          <w:rFonts w:ascii="Garamond" w:hAnsi="Garamond"/>
        </w:rPr>
        <w:t xml:space="preserve">a </w:t>
      </w:r>
      <w:r w:rsidR="00E22335" w:rsidRPr="00724947">
        <w:rPr>
          <w:rFonts w:ascii="Garamond" w:hAnsi="Garamond"/>
        </w:rPr>
        <w:t>devolved matter</w:t>
      </w:r>
      <w:r w:rsidR="00A92EEC" w:rsidRPr="00724947">
        <w:rPr>
          <w:rFonts w:ascii="Garamond" w:hAnsi="Garamond"/>
        </w:rPr>
        <w:t xml:space="preserve">. </w:t>
      </w:r>
      <w:r w:rsidRPr="00724947">
        <w:rPr>
          <w:rFonts w:ascii="Garamond" w:hAnsi="Garamond"/>
        </w:rPr>
        <w:t>The majority held that it was outside scope on both grounds. The Lord Chief Justice</w:t>
      </w:r>
      <w:r w:rsidR="00734036" w:rsidRPr="00724947">
        <w:rPr>
          <w:rFonts w:ascii="Garamond" w:hAnsi="Garamond"/>
        </w:rPr>
        <w:t xml:space="preserve"> of England and Wales</w:t>
      </w:r>
      <w:r w:rsidRPr="00724947">
        <w:rPr>
          <w:rFonts w:ascii="Garamond" w:hAnsi="Garamond"/>
        </w:rPr>
        <w:t>, who was asked to sit in the Supreme Court on this occasion because he is a Welshman, held that it di</w:t>
      </w:r>
      <w:r w:rsidR="00734036" w:rsidRPr="00724947">
        <w:rPr>
          <w:rFonts w:ascii="Garamond" w:hAnsi="Garamond"/>
        </w:rPr>
        <w:t xml:space="preserve">d relate to funding for the NHS; it was unjustifiably retrospective in it effect, </w:t>
      </w:r>
      <w:r w:rsidRPr="00724947">
        <w:rPr>
          <w:rFonts w:ascii="Garamond" w:hAnsi="Garamond"/>
        </w:rPr>
        <w:t xml:space="preserve">but </w:t>
      </w:r>
      <w:r w:rsidR="00734036" w:rsidRPr="00724947">
        <w:rPr>
          <w:rFonts w:ascii="Garamond" w:hAnsi="Garamond"/>
        </w:rPr>
        <w:t>this could easily be cured by amending the Bill before submitting it for Royal Assent</w:t>
      </w:r>
      <w:r w:rsidRPr="00724947">
        <w:rPr>
          <w:rFonts w:ascii="Garamond" w:hAnsi="Garamond"/>
        </w:rPr>
        <w:t>. (I agreed with the Lord Chief Justice.)</w:t>
      </w:r>
      <w:r w:rsidR="0018478A" w:rsidRPr="00724947">
        <w:rPr>
          <w:rFonts w:ascii="Garamond" w:hAnsi="Garamond"/>
        </w:rPr>
        <w:t xml:space="preserve"> </w:t>
      </w:r>
      <w:r w:rsidR="00734036" w:rsidRPr="00724947">
        <w:rPr>
          <w:rFonts w:ascii="Garamond" w:hAnsi="Garamond"/>
        </w:rPr>
        <w:t xml:space="preserve">The majority were noticeably less respectful of the decisions of a democratically elected legislature than the </w:t>
      </w:r>
      <w:r w:rsidR="006322F1" w:rsidRPr="00724947">
        <w:rPr>
          <w:rFonts w:ascii="Garamond" w:hAnsi="Garamond"/>
        </w:rPr>
        <w:t>C</w:t>
      </w:r>
      <w:r w:rsidR="00734036" w:rsidRPr="00724947">
        <w:rPr>
          <w:rFonts w:ascii="Garamond" w:hAnsi="Garamond"/>
        </w:rPr>
        <w:t xml:space="preserve">ourt had been in the </w:t>
      </w:r>
      <w:r w:rsidR="00734036" w:rsidRPr="00724947">
        <w:rPr>
          <w:rFonts w:ascii="Garamond" w:hAnsi="Garamond"/>
          <w:i/>
        </w:rPr>
        <w:t>A</w:t>
      </w:r>
      <w:r w:rsidR="008615BF" w:rsidRPr="00724947">
        <w:rPr>
          <w:rFonts w:ascii="Garamond" w:hAnsi="Garamond"/>
          <w:i/>
        </w:rPr>
        <w:t>XA</w:t>
      </w:r>
      <w:r w:rsidR="00734036" w:rsidRPr="00724947">
        <w:rPr>
          <w:rFonts w:ascii="Garamond" w:hAnsi="Garamond"/>
        </w:rPr>
        <w:t xml:space="preserve"> case.</w:t>
      </w:r>
    </w:p>
    <w:p w14:paraId="66E0C829" w14:textId="1FC6508C" w:rsidR="00A92EEC" w:rsidRPr="00724947" w:rsidRDefault="008A0766" w:rsidP="00222A1D">
      <w:pPr>
        <w:spacing w:before="120" w:line="360" w:lineRule="auto"/>
        <w:jc w:val="both"/>
        <w:rPr>
          <w:rFonts w:ascii="Garamond" w:hAnsi="Garamond"/>
        </w:rPr>
      </w:pPr>
      <w:r w:rsidRPr="00724947">
        <w:rPr>
          <w:rFonts w:ascii="Garamond" w:hAnsi="Garamond"/>
        </w:rPr>
        <w:t xml:space="preserve">In the </w:t>
      </w:r>
      <w:r w:rsidR="00A76EB1" w:rsidRPr="00724947">
        <w:rPr>
          <w:rFonts w:ascii="Garamond" w:hAnsi="Garamond"/>
          <w:i/>
          <w:lang w:val="en-AU"/>
        </w:rPr>
        <w:t>A</w:t>
      </w:r>
      <w:r w:rsidR="00E46D56" w:rsidRPr="00724947">
        <w:rPr>
          <w:rFonts w:ascii="Garamond" w:hAnsi="Garamond"/>
          <w:i/>
          <w:lang w:val="en-AU"/>
        </w:rPr>
        <w:t>XA</w:t>
      </w:r>
      <w:r w:rsidR="002B7768" w:rsidRPr="00724947">
        <w:rPr>
          <w:rFonts w:ascii="Garamond" w:hAnsi="Garamond"/>
          <w:i/>
        </w:rPr>
        <w:t xml:space="preserve"> </w:t>
      </w:r>
      <w:r w:rsidRPr="00724947">
        <w:rPr>
          <w:rFonts w:ascii="Garamond" w:hAnsi="Garamond"/>
        </w:rPr>
        <w:t xml:space="preserve">case, both of the Scottish Law Lords thought that there might be other limits </w:t>
      </w:r>
      <w:r w:rsidR="002B7768" w:rsidRPr="00724947">
        <w:rPr>
          <w:rFonts w:ascii="Garamond" w:hAnsi="Garamond"/>
        </w:rPr>
        <w:t>(</w:t>
      </w:r>
      <w:r w:rsidR="00484404" w:rsidRPr="00724947">
        <w:rPr>
          <w:rFonts w:ascii="Garamond" w:hAnsi="Garamond"/>
        </w:rPr>
        <w:t xml:space="preserve">other </w:t>
      </w:r>
      <w:r w:rsidR="002B7768" w:rsidRPr="00724947">
        <w:rPr>
          <w:rFonts w:ascii="Garamond" w:hAnsi="Garamond"/>
        </w:rPr>
        <w:t xml:space="preserve">than those set out in the devolution statutes) </w:t>
      </w:r>
      <w:r w:rsidRPr="00724947">
        <w:rPr>
          <w:rFonts w:ascii="Garamond" w:hAnsi="Garamond"/>
        </w:rPr>
        <w:t>upon the powers of the devolved Parliaments.</w:t>
      </w:r>
      <w:r w:rsidR="00A92EEC" w:rsidRPr="00724947">
        <w:rPr>
          <w:rFonts w:ascii="Garamond" w:hAnsi="Garamond"/>
        </w:rPr>
        <w:t xml:space="preserve"> After pointing out the power which a government elected with a large majority has over a single-chamber Parliament, </w:t>
      </w:r>
      <w:r w:rsidRPr="00724947">
        <w:rPr>
          <w:rFonts w:ascii="Garamond" w:hAnsi="Garamond"/>
        </w:rPr>
        <w:t xml:space="preserve">Lord Hope </w:t>
      </w:r>
      <w:r w:rsidR="00A92EEC" w:rsidRPr="00724947">
        <w:rPr>
          <w:rFonts w:ascii="Garamond" w:hAnsi="Garamond"/>
        </w:rPr>
        <w:t xml:space="preserve">returned to the point he had made in </w:t>
      </w:r>
      <w:r w:rsidR="00A92EEC" w:rsidRPr="00724947">
        <w:rPr>
          <w:rFonts w:ascii="Garamond" w:hAnsi="Garamond"/>
          <w:i/>
        </w:rPr>
        <w:t xml:space="preserve">Jackson </w:t>
      </w:r>
      <w:r w:rsidR="00A92EEC" w:rsidRPr="00724947">
        <w:rPr>
          <w:rFonts w:ascii="Garamond" w:hAnsi="Garamond"/>
        </w:rPr>
        <w:t xml:space="preserve">(the Hunting Act case): </w:t>
      </w:r>
    </w:p>
    <w:p w14:paraId="38B9A000" w14:textId="5413B048" w:rsidR="00A92EEC" w:rsidRPr="00724947" w:rsidRDefault="00A92EEC" w:rsidP="00222A1D">
      <w:pPr>
        <w:spacing w:before="120" w:line="360" w:lineRule="auto"/>
        <w:ind w:left="284" w:right="282"/>
        <w:jc w:val="both"/>
        <w:rPr>
          <w:rFonts w:ascii="Garamond" w:hAnsi="Garamond"/>
        </w:rPr>
      </w:pPr>
      <w:r w:rsidRPr="00724947">
        <w:rPr>
          <w:rFonts w:ascii="Garamond" w:hAnsi="Garamond"/>
        </w:rPr>
        <w:t>It is not entirely unthinkable that a government which has that power may seek to use it to abolish judicial review or to diminish the role of the courts protecting the interests of the individual.</w:t>
      </w:r>
      <w:r w:rsidR="00B51892" w:rsidRPr="00724947">
        <w:rPr>
          <w:rFonts w:ascii="Garamond" w:hAnsi="Garamond"/>
        </w:rPr>
        <w:t xml:space="preserve"> </w:t>
      </w:r>
      <w:r w:rsidR="009B5993" w:rsidRPr="00724947">
        <w:rPr>
          <w:rFonts w:ascii="Garamond" w:hAnsi="Garamond"/>
          <w:lang w:val="en-AU"/>
        </w:rPr>
        <w:t>[</w:t>
      </w:r>
      <w:r w:rsidR="00A114EA" w:rsidRPr="00724947">
        <w:rPr>
          <w:rFonts w:ascii="Garamond" w:hAnsi="Garamond"/>
          <w:lang w:val="en-AU"/>
        </w:rPr>
        <w:t>…</w:t>
      </w:r>
      <w:r w:rsidR="009B5993" w:rsidRPr="00724947">
        <w:rPr>
          <w:rFonts w:ascii="Garamond" w:hAnsi="Garamond"/>
          <w:lang w:val="en-AU"/>
        </w:rPr>
        <w:t>]</w:t>
      </w:r>
      <w:r w:rsidRPr="00724947">
        <w:rPr>
          <w:rFonts w:ascii="Garamond" w:hAnsi="Garamond"/>
        </w:rPr>
        <w:t xml:space="preserve"> The rule of law requires that the judges must retain the power to insist that legislation of that extreme kind is not law which the courts will recognise.</w:t>
      </w:r>
      <w:r w:rsidRPr="00724947">
        <w:rPr>
          <w:rStyle w:val="FootnoteReference"/>
          <w:rFonts w:ascii="Garamond" w:hAnsi="Garamond"/>
        </w:rPr>
        <w:footnoteReference w:id="43"/>
      </w:r>
      <w:r w:rsidRPr="00724947">
        <w:rPr>
          <w:rFonts w:ascii="Garamond" w:hAnsi="Garamond"/>
        </w:rPr>
        <w:t xml:space="preserve"> </w:t>
      </w:r>
    </w:p>
    <w:p w14:paraId="13CA80C8" w14:textId="7FD68BA8" w:rsidR="008A0766" w:rsidRPr="00724947" w:rsidRDefault="00A92EEC" w:rsidP="00222A1D">
      <w:pPr>
        <w:pStyle w:val="NoSpacing"/>
        <w:spacing w:before="120" w:line="360" w:lineRule="auto"/>
        <w:jc w:val="both"/>
        <w:rPr>
          <w:rFonts w:ascii="Garamond" w:hAnsi="Garamond" w:cs="Times New Roman"/>
          <w:sz w:val="24"/>
          <w:szCs w:val="24"/>
        </w:rPr>
      </w:pPr>
      <w:r w:rsidRPr="00724947">
        <w:rPr>
          <w:rFonts w:ascii="Garamond" w:hAnsi="Garamond" w:cs="Times New Roman"/>
          <w:sz w:val="24"/>
          <w:szCs w:val="24"/>
        </w:rPr>
        <w:t xml:space="preserve">Lord Reed reached the same conclusion by a different route. The ‘principle of legality’ means that the UK Parliament cannot itself override fundamental rights or the rule of law by general or ambiguous words. </w:t>
      </w:r>
      <w:r w:rsidR="002B7768" w:rsidRPr="00724947">
        <w:rPr>
          <w:rFonts w:ascii="Garamond" w:hAnsi="Garamond" w:cs="Times New Roman"/>
          <w:sz w:val="24"/>
          <w:szCs w:val="24"/>
        </w:rPr>
        <w:t>Th</w:t>
      </w:r>
      <w:r w:rsidR="009E1305" w:rsidRPr="00724947">
        <w:rPr>
          <w:rFonts w:ascii="Garamond" w:hAnsi="Garamond" w:cs="Times New Roman"/>
          <w:sz w:val="24"/>
          <w:szCs w:val="24"/>
        </w:rPr>
        <w:t>is</w:t>
      </w:r>
      <w:r w:rsidR="002B7768" w:rsidRPr="00724947">
        <w:rPr>
          <w:rFonts w:ascii="Garamond" w:hAnsi="Garamond" w:cs="Times New Roman"/>
          <w:sz w:val="24"/>
          <w:szCs w:val="24"/>
        </w:rPr>
        <w:t xml:space="preserve"> is </w:t>
      </w:r>
      <w:r w:rsidR="009E1305" w:rsidRPr="00724947">
        <w:rPr>
          <w:rFonts w:ascii="Garamond" w:hAnsi="Garamond" w:cs="Times New Roman"/>
          <w:sz w:val="24"/>
          <w:szCs w:val="24"/>
        </w:rPr>
        <w:t xml:space="preserve">one of the </w:t>
      </w:r>
      <w:r w:rsidR="002B7768" w:rsidRPr="00724947">
        <w:rPr>
          <w:rFonts w:ascii="Garamond" w:hAnsi="Garamond" w:cs="Times New Roman"/>
          <w:sz w:val="24"/>
          <w:szCs w:val="24"/>
        </w:rPr>
        <w:t>rule</w:t>
      </w:r>
      <w:r w:rsidR="009E1305" w:rsidRPr="00724947">
        <w:rPr>
          <w:rFonts w:ascii="Garamond" w:hAnsi="Garamond" w:cs="Times New Roman"/>
          <w:sz w:val="24"/>
          <w:szCs w:val="24"/>
        </w:rPr>
        <w:t>s</w:t>
      </w:r>
      <w:r w:rsidR="002B7768" w:rsidRPr="00724947">
        <w:rPr>
          <w:rFonts w:ascii="Garamond" w:hAnsi="Garamond" w:cs="Times New Roman"/>
          <w:sz w:val="24"/>
          <w:szCs w:val="24"/>
        </w:rPr>
        <w:t xml:space="preserve"> of statutory interpretation to </w:t>
      </w:r>
      <w:r w:rsidR="009E1305" w:rsidRPr="00724947">
        <w:rPr>
          <w:rFonts w:ascii="Garamond" w:hAnsi="Garamond" w:cs="Times New Roman"/>
          <w:sz w:val="24"/>
          <w:szCs w:val="24"/>
        </w:rPr>
        <w:t>which I referred earlier</w:t>
      </w:r>
      <w:r w:rsidR="002B7768" w:rsidRPr="00724947">
        <w:rPr>
          <w:rFonts w:ascii="Garamond" w:hAnsi="Garamond" w:cs="Times New Roman"/>
          <w:sz w:val="24"/>
          <w:szCs w:val="24"/>
        </w:rPr>
        <w:t xml:space="preserve">. </w:t>
      </w:r>
      <w:r w:rsidR="00CD3B84" w:rsidRPr="00724947">
        <w:rPr>
          <w:rFonts w:ascii="Garamond" w:hAnsi="Garamond" w:cs="Times New Roman"/>
          <w:sz w:val="24"/>
          <w:szCs w:val="24"/>
        </w:rPr>
        <w:t xml:space="preserve">If </w:t>
      </w:r>
      <w:r w:rsidR="009E1305" w:rsidRPr="00724947">
        <w:rPr>
          <w:rFonts w:ascii="Garamond" w:hAnsi="Garamond" w:cs="Times New Roman"/>
          <w:sz w:val="24"/>
          <w:szCs w:val="24"/>
        </w:rPr>
        <w:t xml:space="preserve">Parliament </w:t>
      </w:r>
      <w:r w:rsidR="00CD3B84" w:rsidRPr="00724947">
        <w:rPr>
          <w:rFonts w:ascii="Garamond" w:hAnsi="Garamond" w:cs="Times New Roman"/>
          <w:sz w:val="24"/>
          <w:szCs w:val="24"/>
        </w:rPr>
        <w:t xml:space="preserve">wants to interfere with fundamental rights, </w:t>
      </w:r>
      <w:r w:rsidR="009E1305" w:rsidRPr="00724947">
        <w:rPr>
          <w:rFonts w:ascii="Garamond" w:hAnsi="Garamond" w:cs="Times New Roman"/>
          <w:sz w:val="24"/>
          <w:szCs w:val="24"/>
        </w:rPr>
        <w:t xml:space="preserve">it </w:t>
      </w:r>
      <w:r w:rsidRPr="00724947">
        <w:rPr>
          <w:rFonts w:ascii="Garamond" w:hAnsi="Garamond" w:cs="Times New Roman"/>
          <w:sz w:val="24"/>
          <w:szCs w:val="24"/>
        </w:rPr>
        <w:t>has to be specific</w:t>
      </w:r>
      <w:r w:rsidR="00CD3B84" w:rsidRPr="00724947">
        <w:rPr>
          <w:rFonts w:ascii="Garamond" w:hAnsi="Garamond" w:cs="Times New Roman"/>
          <w:sz w:val="24"/>
          <w:szCs w:val="24"/>
        </w:rPr>
        <w:t>, so that Parliamentarian</w:t>
      </w:r>
      <w:r w:rsidR="009E1305" w:rsidRPr="00724947">
        <w:rPr>
          <w:rFonts w:ascii="Garamond" w:hAnsi="Garamond" w:cs="Times New Roman"/>
          <w:sz w:val="24"/>
          <w:szCs w:val="24"/>
        </w:rPr>
        <w:t>s</w:t>
      </w:r>
      <w:r w:rsidR="00CD3B84" w:rsidRPr="00724947">
        <w:rPr>
          <w:rFonts w:ascii="Garamond" w:hAnsi="Garamond" w:cs="Times New Roman"/>
          <w:sz w:val="24"/>
          <w:szCs w:val="24"/>
        </w:rPr>
        <w:t xml:space="preserve"> understand what they are voting for and can</w:t>
      </w:r>
      <w:r w:rsidR="002B7768" w:rsidRPr="00724947">
        <w:rPr>
          <w:rFonts w:ascii="Garamond" w:hAnsi="Garamond" w:cs="Times New Roman"/>
          <w:sz w:val="24"/>
          <w:szCs w:val="24"/>
        </w:rPr>
        <w:t xml:space="preserve"> face up to the political consequences</w:t>
      </w:r>
      <w:r w:rsidRPr="00724947">
        <w:rPr>
          <w:rFonts w:ascii="Garamond" w:hAnsi="Garamond" w:cs="Times New Roman"/>
          <w:sz w:val="24"/>
          <w:szCs w:val="24"/>
        </w:rPr>
        <w:t>.</w:t>
      </w:r>
      <w:r w:rsidR="002B7768" w:rsidRPr="00724947">
        <w:rPr>
          <w:rStyle w:val="FootnoteReference"/>
          <w:rFonts w:ascii="Garamond" w:hAnsi="Garamond" w:cs="Times New Roman"/>
          <w:sz w:val="24"/>
          <w:szCs w:val="24"/>
        </w:rPr>
        <w:footnoteReference w:id="44"/>
      </w:r>
      <w:r w:rsidRPr="00724947">
        <w:rPr>
          <w:rFonts w:ascii="Garamond" w:hAnsi="Garamond" w:cs="Times New Roman"/>
          <w:sz w:val="24"/>
          <w:szCs w:val="24"/>
        </w:rPr>
        <w:t xml:space="preserve"> </w:t>
      </w:r>
      <w:r w:rsidR="00F531CB" w:rsidRPr="00724947">
        <w:rPr>
          <w:rFonts w:ascii="Garamond" w:hAnsi="Garamond" w:cs="Times New Roman"/>
          <w:sz w:val="24"/>
          <w:szCs w:val="24"/>
        </w:rPr>
        <w:t>This principle, which dates back at least as far as the famous 18</w:t>
      </w:r>
      <w:r w:rsidR="00F531CB" w:rsidRPr="00724947">
        <w:rPr>
          <w:rFonts w:ascii="Garamond" w:hAnsi="Garamond" w:cs="Times New Roman"/>
          <w:sz w:val="24"/>
          <w:szCs w:val="24"/>
          <w:vertAlign w:val="superscript"/>
        </w:rPr>
        <w:t>th</w:t>
      </w:r>
      <w:r w:rsidR="00F531CB" w:rsidRPr="00724947">
        <w:rPr>
          <w:rFonts w:ascii="Garamond" w:hAnsi="Garamond" w:cs="Times New Roman"/>
          <w:sz w:val="24"/>
          <w:szCs w:val="24"/>
        </w:rPr>
        <w:t xml:space="preserve"> century case of </w:t>
      </w:r>
      <w:proofErr w:type="spellStart"/>
      <w:r w:rsidR="00F531CB" w:rsidRPr="00724947">
        <w:rPr>
          <w:rFonts w:ascii="Garamond" w:hAnsi="Garamond" w:cs="Times New Roman"/>
          <w:i/>
          <w:sz w:val="24"/>
          <w:szCs w:val="24"/>
        </w:rPr>
        <w:t>Entick</w:t>
      </w:r>
      <w:proofErr w:type="spellEnd"/>
      <w:r w:rsidR="00F531CB" w:rsidRPr="00724947">
        <w:rPr>
          <w:rFonts w:ascii="Garamond" w:hAnsi="Garamond" w:cs="Times New Roman"/>
          <w:i/>
          <w:sz w:val="24"/>
          <w:szCs w:val="24"/>
        </w:rPr>
        <w:t xml:space="preserve"> v Carrington,</w:t>
      </w:r>
      <w:r w:rsidR="00F531CB" w:rsidRPr="00724947">
        <w:rPr>
          <w:rStyle w:val="FootnoteReference"/>
          <w:rFonts w:ascii="Garamond" w:hAnsi="Garamond" w:cs="Times New Roman"/>
          <w:sz w:val="24"/>
          <w:szCs w:val="24"/>
        </w:rPr>
        <w:footnoteReference w:id="45"/>
      </w:r>
      <w:r w:rsidR="00F531CB" w:rsidRPr="00724947">
        <w:rPr>
          <w:rFonts w:ascii="Garamond" w:hAnsi="Garamond" w:cs="Times New Roman"/>
          <w:i/>
          <w:sz w:val="24"/>
          <w:szCs w:val="24"/>
        </w:rPr>
        <w:t xml:space="preserve"> </w:t>
      </w:r>
      <w:r w:rsidR="00F531CB" w:rsidRPr="00724947">
        <w:rPr>
          <w:rFonts w:ascii="Garamond" w:hAnsi="Garamond" w:cs="Times New Roman"/>
          <w:sz w:val="24"/>
          <w:szCs w:val="24"/>
        </w:rPr>
        <w:t xml:space="preserve">is an important limitation on the legislative powers of the UK Parliament. </w:t>
      </w:r>
      <w:r w:rsidR="00D91410" w:rsidRPr="00724947">
        <w:rPr>
          <w:rFonts w:ascii="Garamond" w:hAnsi="Garamond" w:cs="Times New Roman"/>
          <w:sz w:val="24"/>
          <w:szCs w:val="24"/>
        </w:rPr>
        <w:t>If Parliament cannot itself take away fundamental rights by general words, then neither</w:t>
      </w:r>
      <w:r w:rsidRPr="00724947">
        <w:rPr>
          <w:rFonts w:ascii="Garamond" w:hAnsi="Garamond" w:cs="Times New Roman"/>
          <w:sz w:val="24"/>
          <w:szCs w:val="24"/>
        </w:rPr>
        <w:t xml:space="preserve"> can it confer upon another body the power to do so. </w:t>
      </w:r>
      <w:r w:rsidR="00046883" w:rsidRPr="00724947">
        <w:rPr>
          <w:rFonts w:ascii="Garamond" w:hAnsi="Garamond" w:cs="Times New Roman"/>
          <w:sz w:val="24"/>
          <w:szCs w:val="24"/>
        </w:rPr>
        <w:t>For example, i</w:t>
      </w:r>
      <w:r w:rsidR="00D91410" w:rsidRPr="00724947">
        <w:rPr>
          <w:rFonts w:ascii="Garamond" w:hAnsi="Garamond" w:cs="Times New Roman"/>
          <w:sz w:val="24"/>
          <w:szCs w:val="24"/>
        </w:rPr>
        <w:t xml:space="preserve">n the very first case to come before the UK Supreme Court, we held that the very general power in the United Nations Act 1946, to make Orders in Council so as to comply with our obligations under the United Nations Charter, did not empower the Treasury to provide for draconian asset-freezing orders against individuals without </w:t>
      </w:r>
      <w:r w:rsidR="00D91410" w:rsidRPr="00724947">
        <w:rPr>
          <w:rFonts w:ascii="Garamond" w:hAnsi="Garamond" w:cs="Times New Roman"/>
          <w:sz w:val="24"/>
          <w:szCs w:val="24"/>
        </w:rPr>
        <w:lastRenderedPageBreak/>
        <w:t>due process of law.</w:t>
      </w:r>
      <w:r w:rsidR="00D91410" w:rsidRPr="00724947">
        <w:rPr>
          <w:rStyle w:val="FootnoteReference"/>
          <w:rFonts w:ascii="Garamond" w:hAnsi="Garamond" w:cs="Times New Roman"/>
          <w:sz w:val="24"/>
          <w:szCs w:val="24"/>
        </w:rPr>
        <w:footnoteReference w:id="46"/>
      </w:r>
      <w:r w:rsidR="00D91410" w:rsidRPr="00724947">
        <w:rPr>
          <w:rFonts w:ascii="Garamond" w:hAnsi="Garamond" w:cs="Times New Roman"/>
          <w:sz w:val="24"/>
          <w:szCs w:val="24"/>
        </w:rPr>
        <w:t xml:space="preserve"> In </w:t>
      </w:r>
      <w:r w:rsidR="00046883" w:rsidRPr="00724947">
        <w:rPr>
          <w:rFonts w:ascii="Garamond" w:hAnsi="Garamond" w:cs="Times New Roman"/>
          <w:sz w:val="24"/>
          <w:szCs w:val="24"/>
        </w:rPr>
        <w:t xml:space="preserve">the </w:t>
      </w:r>
      <w:r w:rsidR="00046883" w:rsidRPr="00724947">
        <w:rPr>
          <w:rFonts w:ascii="Garamond" w:hAnsi="Garamond" w:cs="Times New Roman"/>
          <w:i/>
          <w:sz w:val="24"/>
          <w:szCs w:val="24"/>
        </w:rPr>
        <w:t>A</w:t>
      </w:r>
      <w:r w:rsidR="008615BF" w:rsidRPr="00724947">
        <w:rPr>
          <w:rFonts w:ascii="Garamond" w:hAnsi="Garamond" w:cs="Times New Roman"/>
          <w:i/>
          <w:sz w:val="24"/>
          <w:szCs w:val="24"/>
        </w:rPr>
        <w:t>XA</w:t>
      </w:r>
      <w:r w:rsidR="00046883" w:rsidRPr="00724947">
        <w:rPr>
          <w:rFonts w:ascii="Garamond" w:hAnsi="Garamond" w:cs="Times New Roman"/>
          <w:i/>
          <w:sz w:val="24"/>
          <w:szCs w:val="24"/>
        </w:rPr>
        <w:t xml:space="preserve"> </w:t>
      </w:r>
      <w:r w:rsidR="00046883" w:rsidRPr="00724947">
        <w:rPr>
          <w:rFonts w:ascii="Garamond" w:hAnsi="Garamond" w:cs="Times New Roman"/>
          <w:sz w:val="24"/>
          <w:szCs w:val="24"/>
        </w:rPr>
        <w:t xml:space="preserve">case, </w:t>
      </w:r>
      <w:r w:rsidR="00D91410" w:rsidRPr="00724947">
        <w:rPr>
          <w:rFonts w:ascii="Garamond" w:hAnsi="Garamond" w:cs="Times New Roman"/>
          <w:sz w:val="24"/>
          <w:szCs w:val="24"/>
        </w:rPr>
        <w:t>Lord Reed</w:t>
      </w:r>
      <w:r w:rsidR="00046883" w:rsidRPr="00724947">
        <w:rPr>
          <w:rFonts w:ascii="Garamond" w:hAnsi="Garamond" w:cs="Times New Roman"/>
          <w:sz w:val="24"/>
          <w:szCs w:val="24"/>
        </w:rPr>
        <w:t xml:space="preserve"> took the view that</w:t>
      </w:r>
      <w:r w:rsidR="00D91410" w:rsidRPr="00724947">
        <w:rPr>
          <w:rFonts w:ascii="Garamond" w:hAnsi="Garamond" w:cs="Times New Roman"/>
          <w:sz w:val="24"/>
          <w:szCs w:val="24"/>
        </w:rPr>
        <w:t xml:space="preserve"> t</w:t>
      </w:r>
      <w:r w:rsidRPr="00724947">
        <w:rPr>
          <w:rFonts w:ascii="Garamond" w:hAnsi="Garamond" w:cs="Times New Roman"/>
          <w:sz w:val="24"/>
          <w:szCs w:val="24"/>
        </w:rPr>
        <w:t>he UK Parliament could not be taken to have intended to establish a body</w:t>
      </w:r>
      <w:r w:rsidR="00046883" w:rsidRPr="00724947">
        <w:rPr>
          <w:rFonts w:ascii="Garamond" w:hAnsi="Garamond" w:cs="Times New Roman"/>
          <w:sz w:val="24"/>
          <w:szCs w:val="24"/>
        </w:rPr>
        <w:t>, the Scottish Parliament,</w:t>
      </w:r>
      <w:r w:rsidRPr="00724947">
        <w:rPr>
          <w:rFonts w:ascii="Garamond" w:hAnsi="Garamond" w:cs="Times New Roman"/>
          <w:sz w:val="24"/>
          <w:szCs w:val="24"/>
        </w:rPr>
        <w:t xml:space="preserve"> which was free to abrogate fundamental rights or to violate the rule of law.</w:t>
      </w:r>
      <w:r w:rsidRPr="00724947">
        <w:rPr>
          <w:rStyle w:val="FootnoteReference"/>
          <w:rFonts w:ascii="Garamond" w:hAnsi="Garamond" w:cs="Times New Roman"/>
          <w:sz w:val="24"/>
          <w:szCs w:val="24"/>
        </w:rPr>
        <w:footnoteReference w:id="47"/>
      </w:r>
      <w:r w:rsidR="00CD3B84" w:rsidRPr="00724947">
        <w:rPr>
          <w:rFonts w:ascii="Garamond" w:hAnsi="Garamond" w:cs="Times New Roman"/>
          <w:sz w:val="24"/>
          <w:szCs w:val="24"/>
        </w:rPr>
        <w:t xml:space="preserve"> </w:t>
      </w:r>
    </w:p>
    <w:p w14:paraId="3F937D4C" w14:textId="63962C2B" w:rsidR="008615BF" w:rsidRPr="00724947" w:rsidRDefault="008A0766" w:rsidP="00222A1D">
      <w:pPr>
        <w:spacing w:before="120" w:line="360" w:lineRule="auto"/>
        <w:jc w:val="both"/>
        <w:rPr>
          <w:rFonts w:ascii="Garamond" w:hAnsi="Garamond"/>
        </w:rPr>
      </w:pPr>
      <w:r w:rsidRPr="00724947">
        <w:rPr>
          <w:rFonts w:ascii="Garamond" w:hAnsi="Garamond"/>
        </w:rPr>
        <w:t xml:space="preserve">So much for devolving power downwards. What about ceding it upwards? </w:t>
      </w:r>
      <w:r w:rsidR="00AF3D06" w:rsidRPr="00724947">
        <w:rPr>
          <w:rFonts w:ascii="Garamond" w:hAnsi="Garamond"/>
        </w:rPr>
        <w:t>When the UK entered what was then the E</w:t>
      </w:r>
      <w:r w:rsidR="00484404" w:rsidRPr="00724947">
        <w:rPr>
          <w:rFonts w:ascii="Garamond" w:hAnsi="Garamond"/>
        </w:rPr>
        <w:t xml:space="preserve">uropean </w:t>
      </w:r>
      <w:r w:rsidR="00AF3D06" w:rsidRPr="00724947">
        <w:rPr>
          <w:rFonts w:ascii="Garamond" w:hAnsi="Garamond"/>
        </w:rPr>
        <w:t>E</w:t>
      </w:r>
      <w:r w:rsidR="00484404" w:rsidRPr="00724947">
        <w:rPr>
          <w:rFonts w:ascii="Garamond" w:hAnsi="Garamond"/>
        </w:rPr>
        <w:t xml:space="preserve">conomic </w:t>
      </w:r>
      <w:r w:rsidR="00A76EB1" w:rsidRPr="00724947">
        <w:rPr>
          <w:rFonts w:ascii="Garamond" w:hAnsi="Garamond"/>
          <w:lang w:val="en-AU"/>
        </w:rPr>
        <w:t>C</w:t>
      </w:r>
      <w:r w:rsidR="00AB2AC9" w:rsidRPr="00724947">
        <w:rPr>
          <w:rFonts w:ascii="Garamond" w:hAnsi="Garamond"/>
          <w:lang w:val="en-AU"/>
        </w:rPr>
        <w:t>ommunity</w:t>
      </w:r>
      <w:r w:rsidR="00AF3D06" w:rsidRPr="00724947">
        <w:rPr>
          <w:rFonts w:ascii="Garamond" w:hAnsi="Garamond"/>
        </w:rPr>
        <w:t xml:space="preserve"> in 1973, it had already been established that (within its sphere of competence, which was at that time much narrower than it is now), the community legal order was a higher legal order than those of the member states.</w:t>
      </w:r>
      <w:r w:rsidR="00AB2AC9" w:rsidRPr="00724947">
        <w:rPr>
          <w:rStyle w:val="FootnoteReference"/>
          <w:rFonts w:ascii="Garamond" w:hAnsi="Garamond"/>
          <w:lang w:val="en-AU"/>
        </w:rPr>
        <w:footnoteReference w:id="48"/>
      </w:r>
      <w:r w:rsidR="00AF3D06" w:rsidRPr="00724947">
        <w:rPr>
          <w:rFonts w:ascii="Garamond" w:hAnsi="Garamond"/>
        </w:rPr>
        <w:t xml:space="preserve"> It was necessary to the functioning of the common market that community legislation be interpreted and applied in the same way throughout the community. So the final courts of the member states have an obligation to refer to the Court of Justice in Luxembourg any question of community law which is relevant to the case before them, has not been authoritatively ruled upon already, and is not ‘</w:t>
      </w:r>
      <w:proofErr w:type="spellStart"/>
      <w:r w:rsidR="00AF3D06" w:rsidRPr="00724947">
        <w:rPr>
          <w:rFonts w:ascii="Garamond" w:hAnsi="Garamond"/>
        </w:rPr>
        <w:t>acte</w:t>
      </w:r>
      <w:proofErr w:type="spellEnd"/>
      <w:r w:rsidR="00AF3D06" w:rsidRPr="00724947">
        <w:rPr>
          <w:rFonts w:ascii="Garamond" w:hAnsi="Garamond"/>
        </w:rPr>
        <w:t xml:space="preserve"> </w:t>
      </w:r>
      <w:proofErr w:type="spellStart"/>
      <w:r w:rsidR="00AF3D06" w:rsidRPr="00724947">
        <w:rPr>
          <w:rFonts w:ascii="Garamond" w:hAnsi="Garamond"/>
        </w:rPr>
        <w:t>clair</w:t>
      </w:r>
      <w:proofErr w:type="spellEnd"/>
      <w:r w:rsidR="00AF3D06" w:rsidRPr="00724947">
        <w:rPr>
          <w:rFonts w:ascii="Garamond" w:hAnsi="Garamond"/>
        </w:rPr>
        <w:t xml:space="preserve">’ – that is, the answer is </w:t>
      </w:r>
      <w:r w:rsidR="00046883" w:rsidRPr="00724947">
        <w:rPr>
          <w:rFonts w:ascii="Garamond" w:hAnsi="Garamond"/>
        </w:rPr>
        <w:t xml:space="preserve">not </w:t>
      </w:r>
      <w:r w:rsidR="00AF3D06" w:rsidRPr="00724947">
        <w:rPr>
          <w:rFonts w:ascii="Garamond" w:hAnsi="Garamond"/>
        </w:rPr>
        <w:t>so obvious as to leave us in no reasonable doubt that this is how the law would be interpreted</w:t>
      </w:r>
      <w:r w:rsidR="00484404" w:rsidRPr="00724947">
        <w:rPr>
          <w:rFonts w:ascii="Garamond" w:hAnsi="Garamond"/>
        </w:rPr>
        <w:t>, not only</w:t>
      </w:r>
      <w:r w:rsidR="00AF3D06" w:rsidRPr="00724947">
        <w:rPr>
          <w:rFonts w:ascii="Garamond" w:hAnsi="Garamond"/>
        </w:rPr>
        <w:t xml:space="preserve"> by the </w:t>
      </w:r>
      <w:r w:rsidR="008615BF" w:rsidRPr="00724947">
        <w:rPr>
          <w:rFonts w:ascii="Garamond" w:hAnsi="Garamond"/>
        </w:rPr>
        <w:t>C</w:t>
      </w:r>
      <w:r w:rsidR="00AF3D06" w:rsidRPr="00724947">
        <w:rPr>
          <w:rFonts w:ascii="Garamond" w:hAnsi="Garamond"/>
        </w:rPr>
        <w:t xml:space="preserve">ourt </w:t>
      </w:r>
      <w:r w:rsidR="00484404" w:rsidRPr="00724947">
        <w:rPr>
          <w:rFonts w:ascii="Garamond" w:hAnsi="Garamond"/>
        </w:rPr>
        <w:t xml:space="preserve">but also by </w:t>
      </w:r>
      <w:r w:rsidR="00AF3D06" w:rsidRPr="00724947">
        <w:rPr>
          <w:rFonts w:ascii="Garamond" w:hAnsi="Garamond"/>
        </w:rPr>
        <w:t>the other member states.</w:t>
      </w:r>
      <w:r w:rsidR="00AF3D06" w:rsidRPr="00724947">
        <w:rPr>
          <w:rStyle w:val="FootnoteReference"/>
          <w:rFonts w:ascii="Garamond" w:hAnsi="Garamond"/>
        </w:rPr>
        <w:footnoteReference w:id="49"/>
      </w:r>
      <w:r w:rsidR="00AF3D06" w:rsidRPr="00724947">
        <w:rPr>
          <w:rFonts w:ascii="Garamond" w:hAnsi="Garamond"/>
        </w:rPr>
        <w:t xml:space="preserve"> Once the answer comes back from Luxembourg (usually two years later), it is for us to apply it to the facts of the individual case. The coercive power to make decisions which are binding upon the government and the people of the United Kingdom remains with us: a neat solution.</w:t>
      </w:r>
      <w:r w:rsidR="0045167B" w:rsidRPr="00724947">
        <w:rPr>
          <w:rStyle w:val="FootnoteReference"/>
          <w:rFonts w:ascii="Garamond" w:hAnsi="Garamond"/>
        </w:rPr>
        <w:footnoteReference w:id="50"/>
      </w:r>
      <w:r w:rsidR="00AF3D06" w:rsidRPr="00724947">
        <w:rPr>
          <w:rFonts w:ascii="Garamond" w:hAnsi="Garamond"/>
        </w:rPr>
        <w:t xml:space="preserve"> </w:t>
      </w:r>
      <w:r w:rsidR="00484404" w:rsidRPr="00724947">
        <w:rPr>
          <w:rFonts w:ascii="Garamond" w:hAnsi="Garamond"/>
        </w:rPr>
        <w:t>(A similar solution now applies to compatibility rulings of the Supreme Court in Scottish criminal cases: they go back to the High Court to decide what to do.</w:t>
      </w:r>
      <w:r w:rsidR="00222A1D" w:rsidRPr="00724947">
        <w:rPr>
          <w:rFonts w:ascii="Garamond" w:hAnsi="Garamond"/>
        </w:rPr>
        <w:t>)</w:t>
      </w:r>
      <w:r w:rsidR="004553E3" w:rsidRPr="00724947">
        <w:rPr>
          <w:rStyle w:val="FootnoteReference"/>
          <w:rFonts w:ascii="Garamond" w:hAnsi="Garamond"/>
        </w:rPr>
        <w:footnoteReference w:id="51"/>
      </w:r>
    </w:p>
    <w:p w14:paraId="0AA2E951" w14:textId="5B30BBA1" w:rsidR="00B51892" w:rsidRPr="00724947" w:rsidRDefault="00AF3D06" w:rsidP="00222A1D">
      <w:pPr>
        <w:spacing w:before="120" w:line="360" w:lineRule="auto"/>
        <w:jc w:val="both"/>
        <w:rPr>
          <w:rFonts w:ascii="Garamond" w:hAnsi="Garamond"/>
        </w:rPr>
      </w:pPr>
      <w:r w:rsidRPr="00724947">
        <w:rPr>
          <w:rFonts w:ascii="Garamond" w:hAnsi="Garamond"/>
        </w:rPr>
        <w:t xml:space="preserve">The </w:t>
      </w:r>
      <w:r w:rsidR="0045167B" w:rsidRPr="00724947">
        <w:rPr>
          <w:rFonts w:ascii="Garamond" w:hAnsi="Garamond"/>
        </w:rPr>
        <w:t xml:space="preserve">European Communities Act </w:t>
      </w:r>
      <w:r w:rsidRPr="00724947">
        <w:rPr>
          <w:rFonts w:ascii="Garamond" w:hAnsi="Garamond"/>
        </w:rPr>
        <w:t xml:space="preserve">1972 </w:t>
      </w:r>
      <w:r w:rsidR="00AB2AC9" w:rsidRPr="00724947">
        <w:rPr>
          <w:rFonts w:ascii="Garamond" w:hAnsi="Garamond"/>
          <w:lang w:val="en-AU"/>
        </w:rPr>
        <w:t>(</w:t>
      </w:r>
      <w:r w:rsidR="00D12678" w:rsidRPr="00724947">
        <w:rPr>
          <w:rFonts w:ascii="Garamond" w:hAnsi="Garamond"/>
          <w:lang w:val="en-AU"/>
        </w:rPr>
        <w:t>‘</w:t>
      </w:r>
      <w:r w:rsidR="00AB2AC9" w:rsidRPr="00724947">
        <w:rPr>
          <w:rFonts w:ascii="Garamond" w:hAnsi="Garamond"/>
          <w:lang w:val="en-AU"/>
        </w:rPr>
        <w:t>the 1972 Act</w:t>
      </w:r>
      <w:r w:rsidR="00D12678" w:rsidRPr="00724947">
        <w:rPr>
          <w:rFonts w:ascii="Garamond" w:hAnsi="Garamond"/>
          <w:lang w:val="en-AU"/>
        </w:rPr>
        <w:t>’</w:t>
      </w:r>
      <w:r w:rsidR="00AB2AC9" w:rsidRPr="00724947">
        <w:rPr>
          <w:rFonts w:ascii="Garamond" w:hAnsi="Garamond"/>
          <w:lang w:val="en-AU"/>
        </w:rPr>
        <w:t>)</w:t>
      </w:r>
      <w:r w:rsidR="008615BF" w:rsidRPr="00724947">
        <w:rPr>
          <w:rFonts w:ascii="Garamond" w:hAnsi="Garamond"/>
          <w:lang w:val="en-AU"/>
        </w:rPr>
        <w:t xml:space="preserve"> </w:t>
      </w:r>
      <w:r w:rsidR="00D91410" w:rsidRPr="00724947">
        <w:rPr>
          <w:rFonts w:ascii="Garamond" w:hAnsi="Garamond"/>
        </w:rPr>
        <w:t xml:space="preserve">also </w:t>
      </w:r>
      <w:r w:rsidR="00B937D5" w:rsidRPr="00724947">
        <w:rPr>
          <w:rFonts w:ascii="Garamond" w:hAnsi="Garamond"/>
        </w:rPr>
        <w:t xml:space="preserve">requires </w:t>
      </w:r>
      <w:r w:rsidRPr="00724947">
        <w:rPr>
          <w:rFonts w:ascii="Garamond" w:hAnsi="Garamond"/>
        </w:rPr>
        <w:t xml:space="preserve">the </w:t>
      </w:r>
      <w:r w:rsidR="0045167B" w:rsidRPr="00724947">
        <w:rPr>
          <w:rFonts w:ascii="Garamond" w:hAnsi="Garamond"/>
        </w:rPr>
        <w:t xml:space="preserve">UK </w:t>
      </w:r>
      <w:r w:rsidRPr="00724947">
        <w:rPr>
          <w:rFonts w:ascii="Garamond" w:hAnsi="Garamond"/>
        </w:rPr>
        <w:t>courts to give priority to Community law.</w:t>
      </w:r>
      <w:r w:rsidR="006322F1" w:rsidRPr="00724947">
        <w:rPr>
          <w:rStyle w:val="FootnoteReference"/>
          <w:rFonts w:ascii="Garamond" w:hAnsi="Garamond"/>
        </w:rPr>
        <w:footnoteReference w:id="52"/>
      </w:r>
      <w:r w:rsidRPr="00724947">
        <w:rPr>
          <w:rFonts w:ascii="Garamond" w:hAnsi="Garamond"/>
        </w:rPr>
        <w:t xml:space="preserve"> We do this in two ways. The first is</w:t>
      </w:r>
      <w:r w:rsidR="0045167B" w:rsidRPr="00724947">
        <w:rPr>
          <w:rFonts w:ascii="Garamond" w:hAnsi="Garamond"/>
        </w:rPr>
        <w:t xml:space="preserve"> by ‘conforming interpretation’: w</w:t>
      </w:r>
      <w:r w:rsidRPr="00724947">
        <w:rPr>
          <w:rFonts w:ascii="Garamond" w:hAnsi="Garamond"/>
        </w:rPr>
        <w:t>herever possible UK laws have to be interpreted in conformity with EU law</w:t>
      </w:r>
      <w:r w:rsidR="0045167B" w:rsidRPr="00724947">
        <w:rPr>
          <w:rFonts w:ascii="Garamond" w:hAnsi="Garamond"/>
        </w:rPr>
        <w:t>, whether or not this was what Parliament originally intended</w:t>
      </w:r>
      <w:r w:rsidRPr="00724947">
        <w:rPr>
          <w:rFonts w:ascii="Garamond" w:hAnsi="Garamond"/>
        </w:rPr>
        <w:t xml:space="preserve">. It is </w:t>
      </w:r>
      <w:r w:rsidR="009F5F0A" w:rsidRPr="00724947">
        <w:rPr>
          <w:rFonts w:ascii="Garamond" w:hAnsi="Garamond"/>
        </w:rPr>
        <w:t xml:space="preserve">well-established </w:t>
      </w:r>
      <w:r w:rsidRPr="00724947">
        <w:rPr>
          <w:rFonts w:ascii="Garamond" w:hAnsi="Garamond"/>
        </w:rPr>
        <w:t xml:space="preserve">how much can be done in this way. </w:t>
      </w:r>
      <w:r w:rsidR="0045167B" w:rsidRPr="00724947">
        <w:rPr>
          <w:rFonts w:ascii="Garamond" w:hAnsi="Garamond"/>
        </w:rPr>
        <w:t>T</w:t>
      </w:r>
      <w:r w:rsidRPr="00724947">
        <w:rPr>
          <w:rFonts w:ascii="Garamond" w:hAnsi="Garamond"/>
        </w:rPr>
        <w:t>h</w:t>
      </w:r>
      <w:r w:rsidR="0045167B" w:rsidRPr="00724947">
        <w:rPr>
          <w:rFonts w:ascii="Garamond" w:hAnsi="Garamond"/>
        </w:rPr>
        <w:t>us, for example</w:t>
      </w:r>
      <w:r w:rsidR="00222A1D" w:rsidRPr="00724947">
        <w:rPr>
          <w:rFonts w:ascii="Garamond" w:hAnsi="Garamond"/>
        </w:rPr>
        <w:t>,</w:t>
      </w:r>
      <w:r w:rsidR="006322F1" w:rsidRPr="00724947">
        <w:rPr>
          <w:rFonts w:ascii="Garamond" w:hAnsi="Garamond"/>
        </w:rPr>
        <w:t xml:space="preserve"> in </w:t>
      </w:r>
      <w:r w:rsidR="006322F1" w:rsidRPr="00724947">
        <w:rPr>
          <w:rFonts w:ascii="Garamond" w:hAnsi="Garamond"/>
          <w:i/>
        </w:rPr>
        <w:t>O’Brien</w:t>
      </w:r>
      <w:r w:rsidR="00222A1D" w:rsidRPr="00724947">
        <w:rPr>
          <w:rFonts w:ascii="Garamond" w:hAnsi="Garamond"/>
          <w:i/>
        </w:rPr>
        <w:t>,</w:t>
      </w:r>
      <w:r w:rsidRPr="00724947">
        <w:rPr>
          <w:rFonts w:ascii="Garamond" w:hAnsi="Garamond"/>
        </w:rPr>
        <w:t xml:space="preserve"> </w:t>
      </w:r>
      <w:r w:rsidR="00D91410" w:rsidRPr="00724947">
        <w:rPr>
          <w:rFonts w:ascii="Garamond" w:hAnsi="Garamond"/>
        </w:rPr>
        <w:t xml:space="preserve">the UK </w:t>
      </w:r>
      <w:r w:rsidRPr="00724947">
        <w:rPr>
          <w:rFonts w:ascii="Garamond" w:hAnsi="Garamond"/>
        </w:rPr>
        <w:t>Regulations giving effect to the Part Time Workers Directive had to be interpreted and applied so as to include part time judges even though they were expressly excluded.</w:t>
      </w:r>
      <w:r w:rsidR="0045167B" w:rsidRPr="00724947">
        <w:rPr>
          <w:rStyle w:val="FootnoteReference"/>
          <w:rFonts w:ascii="Garamond" w:hAnsi="Garamond"/>
        </w:rPr>
        <w:footnoteReference w:id="53"/>
      </w:r>
      <w:r w:rsidRPr="00724947">
        <w:rPr>
          <w:rFonts w:ascii="Garamond" w:hAnsi="Garamond"/>
        </w:rPr>
        <w:t xml:space="preserve"> That was easy because </w:t>
      </w:r>
      <w:r w:rsidR="00046883" w:rsidRPr="00724947">
        <w:rPr>
          <w:rFonts w:ascii="Garamond" w:hAnsi="Garamond"/>
        </w:rPr>
        <w:t>these were</w:t>
      </w:r>
      <w:r w:rsidRPr="00724947">
        <w:rPr>
          <w:rFonts w:ascii="Garamond" w:hAnsi="Garamond"/>
        </w:rPr>
        <w:t xml:space="preserve"> Regulations and not an Act of Parliament</w:t>
      </w:r>
      <w:r w:rsidR="00484404" w:rsidRPr="00724947">
        <w:rPr>
          <w:rFonts w:ascii="Garamond" w:hAnsi="Garamond"/>
        </w:rPr>
        <w:t>, so the non-conforming provision could simply be ignored</w:t>
      </w:r>
      <w:r w:rsidRPr="00724947">
        <w:rPr>
          <w:rFonts w:ascii="Garamond" w:hAnsi="Garamond"/>
        </w:rPr>
        <w:t xml:space="preserve">. But sometimes </w:t>
      </w:r>
      <w:r w:rsidR="008C5E1A" w:rsidRPr="00724947">
        <w:rPr>
          <w:rFonts w:ascii="Garamond" w:hAnsi="Garamond"/>
        </w:rPr>
        <w:t xml:space="preserve">a </w:t>
      </w:r>
      <w:r w:rsidR="00B937D5" w:rsidRPr="00724947">
        <w:rPr>
          <w:rFonts w:ascii="Garamond" w:hAnsi="Garamond"/>
        </w:rPr>
        <w:t xml:space="preserve">provision </w:t>
      </w:r>
      <w:r w:rsidR="008C5E1A" w:rsidRPr="00724947">
        <w:rPr>
          <w:rFonts w:ascii="Garamond" w:hAnsi="Garamond"/>
        </w:rPr>
        <w:t xml:space="preserve">which cannot be interpreted away </w:t>
      </w:r>
      <w:r w:rsidR="00B937D5" w:rsidRPr="00724947">
        <w:rPr>
          <w:rFonts w:ascii="Garamond" w:hAnsi="Garamond"/>
        </w:rPr>
        <w:t>is in an Act of Parliament. I</w:t>
      </w:r>
      <w:r w:rsidRPr="00724947">
        <w:rPr>
          <w:rFonts w:ascii="Garamond" w:hAnsi="Garamond"/>
        </w:rPr>
        <w:t xml:space="preserve">f the EU law in question is one which has direct effect, in the sense of giving the citizen rights against the state, then </w:t>
      </w:r>
      <w:r w:rsidR="00484404" w:rsidRPr="00724947">
        <w:rPr>
          <w:rFonts w:ascii="Garamond" w:hAnsi="Garamond"/>
        </w:rPr>
        <w:t xml:space="preserve">again </w:t>
      </w:r>
      <w:r w:rsidR="00046883" w:rsidRPr="00724947">
        <w:rPr>
          <w:rFonts w:ascii="Garamond" w:hAnsi="Garamond"/>
        </w:rPr>
        <w:t xml:space="preserve">we must </w:t>
      </w:r>
      <w:r w:rsidRPr="00724947">
        <w:rPr>
          <w:rFonts w:ascii="Garamond" w:hAnsi="Garamond"/>
        </w:rPr>
        <w:t>simply</w:t>
      </w:r>
      <w:r w:rsidR="00046883" w:rsidRPr="00724947">
        <w:rPr>
          <w:rFonts w:ascii="Garamond" w:hAnsi="Garamond"/>
        </w:rPr>
        <w:t xml:space="preserve"> ignore it</w:t>
      </w:r>
      <w:r w:rsidRPr="00724947">
        <w:rPr>
          <w:rFonts w:ascii="Garamond" w:hAnsi="Garamond"/>
        </w:rPr>
        <w:t xml:space="preserve">. </w:t>
      </w:r>
      <w:r w:rsidR="00B937D5" w:rsidRPr="00724947">
        <w:rPr>
          <w:rFonts w:ascii="Garamond" w:hAnsi="Garamond"/>
        </w:rPr>
        <w:t>Th</w:t>
      </w:r>
      <w:r w:rsidR="008C5E1A" w:rsidRPr="00724947">
        <w:rPr>
          <w:rFonts w:ascii="Garamond" w:hAnsi="Garamond"/>
        </w:rPr>
        <w:t xml:space="preserve">us, for example, </w:t>
      </w:r>
      <w:r w:rsidR="00B937D5" w:rsidRPr="00724947">
        <w:rPr>
          <w:rFonts w:ascii="Garamond" w:hAnsi="Garamond"/>
        </w:rPr>
        <w:t xml:space="preserve">in the </w:t>
      </w:r>
      <w:proofErr w:type="spellStart"/>
      <w:r w:rsidR="00B937D5" w:rsidRPr="00724947">
        <w:rPr>
          <w:rFonts w:ascii="Garamond" w:hAnsi="Garamond"/>
          <w:i/>
        </w:rPr>
        <w:t>Factortame</w:t>
      </w:r>
      <w:proofErr w:type="spellEnd"/>
      <w:r w:rsidR="00B937D5" w:rsidRPr="00724947">
        <w:rPr>
          <w:rFonts w:ascii="Garamond" w:hAnsi="Garamond"/>
        </w:rPr>
        <w:t xml:space="preserve"> litigation</w:t>
      </w:r>
      <w:r w:rsidR="008C5E1A" w:rsidRPr="00724947">
        <w:rPr>
          <w:rFonts w:ascii="Garamond" w:hAnsi="Garamond"/>
        </w:rPr>
        <w:t xml:space="preserve">, the House of Lords </w:t>
      </w:r>
      <w:r w:rsidR="008C5E1A" w:rsidRPr="00724947">
        <w:rPr>
          <w:rFonts w:ascii="Garamond" w:hAnsi="Garamond"/>
        </w:rPr>
        <w:lastRenderedPageBreak/>
        <w:t>ruled</w:t>
      </w:r>
      <w:r w:rsidR="00B937D5" w:rsidRPr="00724947">
        <w:rPr>
          <w:rFonts w:ascii="Garamond" w:hAnsi="Garamond"/>
        </w:rPr>
        <w:t xml:space="preserve"> that provisions of the Merchant Shipping Act 1988, restrict</w:t>
      </w:r>
      <w:r w:rsidR="008C5E1A" w:rsidRPr="00724947">
        <w:rPr>
          <w:rFonts w:ascii="Garamond" w:hAnsi="Garamond"/>
        </w:rPr>
        <w:t>ing</w:t>
      </w:r>
      <w:r w:rsidR="00B937D5" w:rsidRPr="00724947">
        <w:rPr>
          <w:rFonts w:ascii="Garamond" w:hAnsi="Garamond"/>
        </w:rPr>
        <w:t xml:space="preserve"> the right of foreign-owned ships to fish in UK waters, had to be </w:t>
      </w:r>
      <w:proofErr w:type="spellStart"/>
      <w:r w:rsidR="00B937D5" w:rsidRPr="00724947">
        <w:rPr>
          <w:rFonts w:ascii="Garamond" w:hAnsi="Garamond"/>
        </w:rPr>
        <w:t>disapplied</w:t>
      </w:r>
      <w:proofErr w:type="spellEnd"/>
      <w:r w:rsidR="00AB2AC9" w:rsidRPr="00724947">
        <w:rPr>
          <w:rFonts w:ascii="Garamond" w:hAnsi="Garamond"/>
          <w:lang w:val="en-AU"/>
        </w:rPr>
        <w:t>.</w:t>
      </w:r>
      <w:r w:rsidR="006322F1" w:rsidRPr="00724947">
        <w:rPr>
          <w:rStyle w:val="FootnoteReference"/>
          <w:rFonts w:ascii="Garamond" w:hAnsi="Garamond"/>
        </w:rPr>
        <w:footnoteReference w:id="54"/>
      </w:r>
      <w:r w:rsidR="00A76EB1" w:rsidRPr="00724947">
        <w:rPr>
          <w:rFonts w:ascii="Garamond" w:hAnsi="Garamond"/>
          <w:lang w:val="en-AU"/>
        </w:rPr>
        <w:t xml:space="preserve"> </w:t>
      </w:r>
      <w:r w:rsidR="00AB2AC9" w:rsidRPr="00724947">
        <w:rPr>
          <w:rFonts w:ascii="Garamond" w:hAnsi="Garamond"/>
          <w:lang w:val="en-AU"/>
        </w:rPr>
        <w:t>A</w:t>
      </w:r>
      <w:r w:rsidR="00A76EB1" w:rsidRPr="00724947">
        <w:rPr>
          <w:rFonts w:ascii="Garamond" w:hAnsi="Garamond"/>
          <w:lang w:val="en-AU"/>
        </w:rPr>
        <w:t>ccording</w:t>
      </w:r>
      <w:r w:rsidR="00B937D5" w:rsidRPr="00724947">
        <w:rPr>
          <w:rFonts w:ascii="Garamond" w:hAnsi="Garamond"/>
        </w:rPr>
        <w:t xml:space="preserve"> to Lord Bridge</w:t>
      </w:r>
      <w:r w:rsidR="00AB2AC9" w:rsidRPr="00724947">
        <w:rPr>
          <w:rFonts w:ascii="Garamond" w:hAnsi="Garamond"/>
          <w:lang w:val="en-AU"/>
        </w:rPr>
        <w:t>:</w:t>
      </w:r>
      <w:r w:rsidR="00B937D5" w:rsidRPr="00724947">
        <w:rPr>
          <w:rFonts w:ascii="Garamond" w:hAnsi="Garamond"/>
        </w:rPr>
        <w:t xml:space="preserve"> </w:t>
      </w:r>
    </w:p>
    <w:p w14:paraId="57F74624" w14:textId="703C7163" w:rsidR="00B51892" w:rsidRPr="00724947" w:rsidRDefault="00B937D5" w:rsidP="00222A1D">
      <w:pPr>
        <w:pStyle w:val="NoSpacing"/>
        <w:spacing w:before="120" w:line="360" w:lineRule="auto"/>
        <w:ind w:left="284" w:right="282"/>
        <w:jc w:val="both"/>
        <w:rPr>
          <w:rFonts w:ascii="Garamond" w:hAnsi="Garamond" w:cs="Times New Roman"/>
          <w:sz w:val="24"/>
          <w:szCs w:val="24"/>
        </w:rPr>
      </w:pPr>
      <w:proofErr w:type="gramStart"/>
      <w:r w:rsidRPr="00724947">
        <w:rPr>
          <w:rFonts w:ascii="Garamond" w:hAnsi="Garamond" w:cs="Times New Roman"/>
          <w:sz w:val="24"/>
          <w:szCs w:val="24"/>
        </w:rPr>
        <w:t>it</w:t>
      </w:r>
      <w:proofErr w:type="gramEnd"/>
      <w:r w:rsidRPr="00724947">
        <w:rPr>
          <w:rFonts w:ascii="Garamond" w:hAnsi="Garamond" w:cs="Times New Roman"/>
          <w:sz w:val="24"/>
          <w:szCs w:val="24"/>
        </w:rPr>
        <w:t xml:space="preserve"> was the duty of a UK court, when delivering final judgment, to override any rule of national law found to be in conflict with any directly enforceable rule of Communi</w:t>
      </w:r>
      <w:r w:rsidR="00B51892" w:rsidRPr="00724947">
        <w:rPr>
          <w:rFonts w:ascii="Garamond" w:hAnsi="Garamond" w:cs="Times New Roman"/>
          <w:sz w:val="24"/>
          <w:szCs w:val="24"/>
        </w:rPr>
        <w:t xml:space="preserve">ty </w:t>
      </w:r>
      <w:r w:rsidR="00A76EB1" w:rsidRPr="00724947">
        <w:rPr>
          <w:rFonts w:ascii="Garamond" w:hAnsi="Garamond" w:cs="Times New Roman"/>
          <w:sz w:val="24"/>
          <w:szCs w:val="24"/>
        </w:rPr>
        <w:t>law.</w:t>
      </w:r>
      <w:r w:rsidR="00AB2AC9" w:rsidRPr="00724947">
        <w:rPr>
          <w:rStyle w:val="FootnoteReference"/>
          <w:rFonts w:ascii="Garamond" w:hAnsi="Garamond" w:cs="Times New Roman"/>
          <w:sz w:val="24"/>
          <w:szCs w:val="24"/>
        </w:rPr>
        <w:footnoteReference w:id="55"/>
      </w:r>
    </w:p>
    <w:p w14:paraId="730BC4AB" w14:textId="5BF4022C" w:rsidR="00B937D5" w:rsidRPr="00724947" w:rsidRDefault="00AF3D06" w:rsidP="00222A1D">
      <w:pPr>
        <w:pStyle w:val="NoSpacing"/>
        <w:spacing w:before="120" w:line="360" w:lineRule="auto"/>
        <w:jc w:val="both"/>
        <w:rPr>
          <w:rFonts w:ascii="Garamond" w:hAnsi="Garamond" w:cs="Times New Roman"/>
          <w:sz w:val="24"/>
          <w:szCs w:val="24"/>
        </w:rPr>
      </w:pPr>
      <w:r w:rsidRPr="00724947">
        <w:rPr>
          <w:rFonts w:ascii="Garamond" w:hAnsi="Garamond" w:cs="Times New Roman"/>
          <w:sz w:val="24"/>
          <w:szCs w:val="24"/>
        </w:rPr>
        <w:t>Even where EU laws are not directly applicable or effective in this way, there is still a presumption that Parliament intends to legislate compatibly with our obligations in international law.</w:t>
      </w:r>
      <w:r w:rsidRPr="00724947">
        <w:rPr>
          <w:rStyle w:val="FootnoteReference"/>
          <w:rFonts w:ascii="Garamond" w:hAnsi="Garamond" w:cs="Times New Roman"/>
          <w:sz w:val="24"/>
          <w:szCs w:val="24"/>
        </w:rPr>
        <w:footnoteReference w:id="56"/>
      </w:r>
      <w:r w:rsidRPr="00724947">
        <w:rPr>
          <w:rFonts w:ascii="Garamond" w:hAnsi="Garamond" w:cs="Times New Roman"/>
          <w:sz w:val="24"/>
          <w:szCs w:val="24"/>
        </w:rPr>
        <w:t xml:space="preserve"> </w:t>
      </w:r>
    </w:p>
    <w:p w14:paraId="20DDD790" w14:textId="5493A9BA" w:rsidR="00EF73AF" w:rsidRPr="00724947" w:rsidRDefault="00B937D5" w:rsidP="00222A1D">
      <w:pPr>
        <w:spacing w:before="120" w:line="360" w:lineRule="auto"/>
        <w:jc w:val="both"/>
        <w:rPr>
          <w:rFonts w:ascii="Garamond" w:hAnsi="Garamond"/>
        </w:rPr>
      </w:pPr>
      <w:r w:rsidRPr="00724947">
        <w:rPr>
          <w:rFonts w:ascii="Garamond" w:hAnsi="Garamond"/>
        </w:rPr>
        <w:t xml:space="preserve">We have, however, recently had to consider whether there are limits to the primacy accorded to EU law by the 1972 Act. </w:t>
      </w:r>
      <w:r w:rsidR="006322F1" w:rsidRPr="00724947">
        <w:rPr>
          <w:rFonts w:ascii="Garamond" w:hAnsi="Garamond"/>
        </w:rPr>
        <w:t>In t</w:t>
      </w:r>
      <w:r w:rsidR="00EF73AF" w:rsidRPr="00724947">
        <w:rPr>
          <w:rFonts w:ascii="Garamond" w:hAnsi="Garamond"/>
        </w:rPr>
        <w:t xml:space="preserve">he </w:t>
      </w:r>
      <w:r w:rsidR="00EF73AF" w:rsidRPr="00724947">
        <w:rPr>
          <w:rFonts w:ascii="Garamond" w:hAnsi="Garamond"/>
          <w:i/>
        </w:rPr>
        <w:t>HS2</w:t>
      </w:r>
      <w:r w:rsidR="00EF73AF" w:rsidRPr="00724947">
        <w:rPr>
          <w:rFonts w:ascii="Garamond" w:hAnsi="Garamond"/>
        </w:rPr>
        <w:t xml:space="preserve"> case</w:t>
      </w:r>
      <w:r w:rsidR="006322F1" w:rsidRPr="00724947">
        <w:rPr>
          <w:rFonts w:ascii="Garamond" w:hAnsi="Garamond"/>
        </w:rPr>
        <w:t>,</w:t>
      </w:r>
      <w:bookmarkStart w:id="1" w:name="_Ref426920999"/>
      <w:r w:rsidR="00EF73AF" w:rsidRPr="00724947">
        <w:rPr>
          <w:rStyle w:val="FootnoteReference"/>
          <w:rFonts w:ascii="Garamond" w:hAnsi="Garamond"/>
        </w:rPr>
        <w:footnoteReference w:id="57"/>
      </w:r>
      <w:bookmarkEnd w:id="1"/>
      <w:r w:rsidR="00EF73AF" w:rsidRPr="00724947">
        <w:rPr>
          <w:rFonts w:ascii="Garamond" w:hAnsi="Garamond"/>
        </w:rPr>
        <w:t xml:space="preserve"> </w:t>
      </w:r>
      <w:r w:rsidR="006322F1" w:rsidRPr="00724947">
        <w:rPr>
          <w:rFonts w:ascii="Garamond" w:hAnsi="Garamond"/>
        </w:rPr>
        <w:t xml:space="preserve">the applicants </w:t>
      </w:r>
      <w:r w:rsidR="00EF73AF" w:rsidRPr="00724947">
        <w:rPr>
          <w:rFonts w:ascii="Garamond" w:hAnsi="Garamond"/>
        </w:rPr>
        <w:t xml:space="preserve">sought judicial review of </w:t>
      </w:r>
      <w:r w:rsidR="00C72348" w:rsidRPr="00724947">
        <w:rPr>
          <w:rFonts w:ascii="Garamond" w:hAnsi="Garamond"/>
        </w:rPr>
        <w:t xml:space="preserve">the </w:t>
      </w:r>
      <w:r w:rsidR="008C5E1A" w:rsidRPr="00724947">
        <w:rPr>
          <w:rFonts w:ascii="Garamond" w:hAnsi="Garamond"/>
        </w:rPr>
        <w:t>decisions</w:t>
      </w:r>
      <w:r w:rsidR="00C72348" w:rsidRPr="00724947">
        <w:rPr>
          <w:rFonts w:ascii="Garamond" w:hAnsi="Garamond"/>
        </w:rPr>
        <w:t>,</w:t>
      </w:r>
      <w:r w:rsidR="008C5E1A" w:rsidRPr="00724947">
        <w:rPr>
          <w:rFonts w:ascii="Garamond" w:hAnsi="Garamond"/>
        </w:rPr>
        <w:t xml:space="preserve"> </w:t>
      </w:r>
      <w:r w:rsidR="00484404" w:rsidRPr="00724947">
        <w:rPr>
          <w:rFonts w:ascii="Garamond" w:hAnsi="Garamond"/>
        </w:rPr>
        <w:t>published</w:t>
      </w:r>
      <w:r w:rsidR="008C5E1A" w:rsidRPr="00724947">
        <w:rPr>
          <w:rFonts w:ascii="Garamond" w:hAnsi="Garamond"/>
        </w:rPr>
        <w:t xml:space="preserve"> in </w:t>
      </w:r>
      <w:r w:rsidR="00EF73AF" w:rsidRPr="00724947">
        <w:rPr>
          <w:rFonts w:ascii="Garamond" w:hAnsi="Garamond"/>
        </w:rPr>
        <w:t xml:space="preserve">a government White Paper, </w:t>
      </w:r>
      <w:r w:rsidR="00EF73AF" w:rsidRPr="00724947">
        <w:rPr>
          <w:rFonts w:ascii="Garamond" w:hAnsi="Garamond"/>
          <w:i/>
        </w:rPr>
        <w:t>High Speed Rail: Investing in Britain’s future – Decision and Next Steps</w:t>
      </w:r>
      <w:r w:rsidR="008615BF" w:rsidRPr="00724947">
        <w:rPr>
          <w:rFonts w:ascii="Garamond" w:hAnsi="Garamond"/>
          <w:lang w:val="en-AU"/>
        </w:rPr>
        <w:t>,</w:t>
      </w:r>
      <w:r w:rsidR="00F34130" w:rsidRPr="00724947">
        <w:rPr>
          <w:rStyle w:val="FootnoteReference"/>
          <w:rFonts w:ascii="Garamond" w:hAnsi="Garamond"/>
          <w:lang w:val="en-AU"/>
        </w:rPr>
        <w:footnoteReference w:id="58"/>
      </w:r>
      <w:r w:rsidR="00EF73AF" w:rsidRPr="00724947">
        <w:rPr>
          <w:rFonts w:ascii="Garamond" w:hAnsi="Garamond"/>
        </w:rPr>
        <w:t xml:space="preserve"> to obtain development consent </w:t>
      </w:r>
      <w:r w:rsidR="00C72348" w:rsidRPr="00724947">
        <w:rPr>
          <w:rFonts w:ascii="Garamond" w:hAnsi="Garamond"/>
        </w:rPr>
        <w:t xml:space="preserve">and compulsory acquisition powers </w:t>
      </w:r>
      <w:r w:rsidR="00EF73AF" w:rsidRPr="00724947">
        <w:rPr>
          <w:rFonts w:ascii="Garamond" w:hAnsi="Garamond"/>
        </w:rPr>
        <w:t xml:space="preserve">for HS2 through two hybrid bills in Parliament. A hybrid bill is a mixture of a public bill affecting everyone and a private bill affecting individual </w:t>
      </w:r>
      <w:r w:rsidR="008C5E1A" w:rsidRPr="00724947">
        <w:rPr>
          <w:rFonts w:ascii="Garamond" w:hAnsi="Garamond"/>
        </w:rPr>
        <w:t xml:space="preserve">private </w:t>
      </w:r>
      <w:r w:rsidR="00EF73AF" w:rsidRPr="00724947">
        <w:rPr>
          <w:rFonts w:ascii="Garamond" w:hAnsi="Garamond"/>
        </w:rPr>
        <w:t>interests. It involves an additional select committee stage at which objectors whose interests are directly and sp</w:t>
      </w:r>
      <w:r w:rsidR="00B51892" w:rsidRPr="00724947">
        <w:rPr>
          <w:rFonts w:ascii="Garamond" w:hAnsi="Garamond"/>
        </w:rPr>
        <w:t xml:space="preserve">ecifically affected </w:t>
      </w:r>
      <w:r w:rsidR="00EF73AF" w:rsidRPr="00724947">
        <w:rPr>
          <w:rFonts w:ascii="Garamond" w:hAnsi="Garamond"/>
        </w:rPr>
        <w:t xml:space="preserve">may petition against it, although they cannot challenge the principle, including the business case for HS2, or propose any alternative routes. </w:t>
      </w:r>
      <w:r w:rsidR="008C5E1A" w:rsidRPr="00724947">
        <w:rPr>
          <w:rFonts w:ascii="Garamond" w:hAnsi="Garamond"/>
        </w:rPr>
        <w:t>It was argued</w:t>
      </w:r>
      <w:r w:rsidR="00EF73AF" w:rsidRPr="00724947">
        <w:rPr>
          <w:rFonts w:ascii="Garamond" w:hAnsi="Garamond"/>
        </w:rPr>
        <w:t xml:space="preserve"> that this procedure would not comply with the requirements of the </w:t>
      </w:r>
      <w:r w:rsidR="00484404" w:rsidRPr="00724947">
        <w:rPr>
          <w:rFonts w:ascii="Garamond" w:hAnsi="Garamond"/>
        </w:rPr>
        <w:t xml:space="preserve">European </w:t>
      </w:r>
      <w:r w:rsidR="00EF73AF" w:rsidRPr="00724947">
        <w:rPr>
          <w:rFonts w:ascii="Garamond" w:hAnsi="Garamond"/>
        </w:rPr>
        <w:t>Environmental Impact Assessment Directive</w:t>
      </w:r>
      <w:r w:rsidR="003F2629" w:rsidRPr="00724947">
        <w:rPr>
          <w:rFonts w:ascii="Garamond" w:hAnsi="Garamond"/>
        </w:rPr>
        <w:t>.</w:t>
      </w:r>
      <w:r w:rsidR="006322F1" w:rsidRPr="00724947">
        <w:rPr>
          <w:rStyle w:val="FootnoteReference"/>
          <w:rFonts w:ascii="Garamond" w:hAnsi="Garamond"/>
        </w:rPr>
        <w:footnoteReference w:id="59"/>
      </w:r>
    </w:p>
    <w:p w14:paraId="7E4BD6E2" w14:textId="2FC7C161" w:rsidR="00EF73AF" w:rsidRPr="00724947" w:rsidRDefault="008615BF" w:rsidP="00222A1D">
      <w:pPr>
        <w:spacing w:before="120" w:line="360" w:lineRule="auto"/>
        <w:jc w:val="both"/>
        <w:rPr>
          <w:rFonts w:ascii="Garamond" w:hAnsi="Garamond"/>
        </w:rPr>
      </w:pPr>
      <w:r w:rsidRPr="00724947">
        <w:rPr>
          <w:rFonts w:ascii="Garamond" w:hAnsi="Garamond"/>
        </w:rPr>
        <w:t>Art</w:t>
      </w:r>
      <w:r w:rsidR="00EF73AF" w:rsidRPr="00724947">
        <w:rPr>
          <w:rFonts w:ascii="Garamond" w:hAnsi="Garamond"/>
        </w:rPr>
        <w:t xml:space="preserve"> 1(4) says that the Directive does not apply to ‘projects the details of which are adopted by a specific act of national legislation, since the objectives of this Directive including that of supplying information, are achieved by the legislative </w:t>
      </w:r>
      <w:proofErr w:type="gramStart"/>
      <w:r w:rsidR="00EF73AF" w:rsidRPr="00724947">
        <w:rPr>
          <w:rFonts w:ascii="Garamond" w:hAnsi="Garamond"/>
        </w:rPr>
        <w:t>process’</w:t>
      </w:r>
      <w:proofErr w:type="gramEnd"/>
      <w:r w:rsidR="00EF73AF" w:rsidRPr="00724947">
        <w:rPr>
          <w:rFonts w:ascii="Garamond" w:hAnsi="Garamond"/>
        </w:rPr>
        <w:t xml:space="preserve">. </w:t>
      </w:r>
      <w:r w:rsidR="008C5E1A" w:rsidRPr="00724947">
        <w:rPr>
          <w:rFonts w:ascii="Garamond" w:hAnsi="Garamond"/>
        </w:rPr>
        <w:t>So far so good, but t</w:t>
      </w:r>
      <w:r w:rsidR="00EF73AF" w:rsidRPr="00724947">
        <w:rPr>
          <w:rFonts w:ascii="Garamond" w:hAnsi="Garamond"/>
        </w:rPr>
        <w:t xml:space="preserve">he </w:t>
      </w:r>
      <w:r w:rsidR="008C5E1A" w:rsidRPr="00724947">
        <w:rPr>
          <w:rFonts w:ascii="Garamond" w:hAnsi="Garamond"/>
        </w:rPr>
        <w:t>Luxembourg</w:t>
      </w:r>
      <w:r w:rsidR="00EF73AF" w:rsidRPr="00724947">
        <w:rPr>
          <w:rFonts w:ascii="Garamond" w:hAnsi="Garamond"/>
        </w:rPr>
        <w:t xml:space="preserve"> Court has </w:t>
      </w:r>
      <w:r w:rsidR="000612DD" w:rsidRPr="00724947">
        <w:rPr>
          <w:rFonts w:ascii="Garamond" w:hAnsi="Garamond"/>
        </w:rPr>
        <w:t xml:space="preserve">boldly </w:t>
      </w:r>
      <w:r w:rsidR="00EF73AF" w:rsidRPr="00724947">
        <w:rPr>
          <w:rFonts w:ascii="Garamond" w:hAnsi="Garamond"/>
        </w:rPr>
        <w:t>interpreted the word ‘since’ to mean ‘provided that’.</w:t>
      </w:r>
      <w:r w:rsidR="000612DD" w:rsidRPr="00724947">
        <w:rPr>
          <w:rStyle w:val="FootnoteReference"/>
          <w:rFonts w:ascii="Garamond" w:hAnsi="Garamond"/>
        </w:rPr>
        <w:footnoteReference w:id="60"/>
      </w:r>
      <w:r w:rsidR="000612DD" w:rsidRPr="00724947">
        <w:rPr>
          <w:rFonts w:ascii="Garamond" w:hAnsi="Garamond"/>
        </w:rPr>
        <w:t xml:space="preserve"> </w:t>
      </w:r>
      <w:r w:rsidR="00EF73AF" w:rsidRPr="00724947">
        <w:rPr>
          <w:rFonts w:ascii="Garamond" w:hAnsi="Garamond"/>
        </w:rPr>
        <w:t xml:space="preserve">So it was argued that we would have to scrutinise the </w:t>
      </w:r>
      <w:r w:rsidR="008C5E1A" w:rsidRPr="00724947">
        <w:rPr>
          <w:rFonts w:ascii="Garamond" w:hAnsi="Garamond"/>
        </w:rPr>
        <w:t>Parliamentary</w:t>
      </w:r>
      <w:r w:rsidR="00EF73AF" w:rsidRPr="00724947">
        <w:rPr>
          <w:rFonts w:ascii="Garamond" w:hAnsi="Garamond"/>
        </w:rPr>
        <w:t xml:space="preserve"> process to ensure that it </w:t>
      </w:r>
      <w:r w:rsidR="008C5E1A" w:rsidRPr="00724947">
        <w:rPr>
          <w:rFonts w:ascii="Garamond" w:hAnsi="Garamond"/>
        </w:rPr>
        <w:t>achieved</w:t>
      </w:r>
      <w:r w:rsidR="00EF73AF" w:rsidRPr="00724947">
        <w:rPr>
          <w:rFonts w:ascii="Garamond" w:hAnsi="Garamond"/>
        </w:rPr>
        <w:t xml:space="preserve"> the objectives of the Directive. </w:t>
      </w:r>
      <w:r w:rsidR="00C72348" w:rsidRPr="00724947">
        <w:rPr>
          <w:rFonts w:ascii="Garamond" w:hAnsi="Garamond"/>
        </w:rPr>
        <w:t>E</w:t>
      </w:r>
      <w:r w:rsidR="008C5E1A" w:rsidRPr="00724947">
        <w:rPr>
          <w:rFonts w:ascii="Garamond" w:hAnsi="Garamond"/>
        </w:rPr>
        <w:t xml:space="preserve">ffective public participation would be prevented, it was argued, by the political parties’ whipping </w:t>
      </w:r>
      <w:r w:rsidR="00EF73AF" w:rsidRPr="00724947">
        <w:rPr>
          <w:rFonts w:ascii="Garamond" w:hAnsi="Garamond"/>
        </w:rPr>
        <w:t>the vote at the second and third readings, the limited opportunity for examining the environmental information, and the limited remit of the select committee</w:t>
      </w:r>
      <w:r w:rsidR="008C5E1A" w:rsidRPr="00724947">
        <w:rPr>
          <w:rFonts w:ascii="Garamond" w:hAnsi="Garamond"/>
        </w:rPr>
        <w:t xml:space="preserve"> hearing petitions against the Bill</w:t>
      </w:r>
      <w:r w:rsidR="00EF73AF" w:rsidRPr="00724947">
        <w:rPr>
          <w:rFonts w:ascii="Garamond" w:hAnsi="Garamond"/>
        </w:rPr>
        <w:t>.</w:t>
      </w:r>
    </w:p>
    <w:p w14:paraId="221637D4" w14:textId="58BDCF6C" w:rsidR="008615BF" w:rsidRPr="00724947" w:rsidRDefault="00E8002B" w:rsidP="00222A1D">
      <w:pPr>
        <w:spacing w:before="120" w:line="360" w:lineRule="auto"/>
        <w:jc w:val="both"/>
        <w:rPr>
          <w:rFonts w:ascii="Garamond" w:hAnsi="Garamond"/>
        </w:rPr>
      </w:pPr>
      <w:r w:rsidRPr="00724947">
        <w:rPr>
          <w:rFonts w:ascii="Garamond" w:hAnsi="Garamond"/>
        </w:rPr>
        <w:t xml:space="preserve">But this sort of </w:t>
      </w:r>
      <w:r w:rsidR="00EF73AF" w:rsidRPr="00724947">
        <w:rPr>
          <w:rFonts w:ascii="Garamond" w:hAnsi="Garamond"/>
        </w:rPr>
        <w:t xml:space="preserve">scrutiny of the Parliamentary process would directly conflict with </w:t>
      </w:r>
      <w:r w:rsidRPr="00724947">
        <w:rPr>
          <w:rFonts w:ascii="Garamond" w:hAnsi="Garamond"/>
        </w:rPr>
        <w:t>‘</w:t>
      </w:r>
      <w:r w:rsidR="00EF73AF" w:rsidRPr="00724947">
        <w:rPr>
          <w:rFonts w:ascii="Garamond" w:hAnsi="Garamond"/>
        </w:rPr>
        <w:t>one of the pillars of constitutional settlement which established the rule of law in England in the 17</w:t>
      </w:r>
      <w:r w:rsidR="00EF73AF" w:rsidRPr="00724947">
        <w:rPr>
          <w:rFonts w:ascii="Garamond" w:hAnsi="Garamond"/>
          <w:vertAlign w:val="superscript"/>
        </w:rPr>
        <w:t>th</w:t>
      </w:r>
      <w:r w:rsidR="00EF73AF" w:rsidRPr="00724947">
        <w:rPr>
          <w:rFonts w:ascii="Garamond" w:hAnsi="Garamond"/>
        </w:rPr>
        <w:t xml:space="preserve"> century</w:t>
      </w:r>
      <w:r w:rsidRPr="00724947">
        <w:rPr>
          <w:rFonts w:ascii="Garamond" w:hAnsi="Garamond"/>
        </w:rPr>
        <w:t>’</w:t>
      </w:r>
      <w:r w:rsidR="008C5E1A" w:rsidRPr="00724947">
        <w:rPr>
          <w:rFonts w:ascii="Garamond" w:hAnsi="Garamond"/>
        </w:rPr>
        <w:t>.</w:t>
      </w:r>
      <w:r w:rsidR="0032076F" w:rsidRPr="00724947">
        <w:rPr>
          <w:rStyle w:val="FootnoteReference"/>
          <w:rFonts w:ascii="Garamond" w:hAnsi="Garamond"/>
        </w:rPr>
        <w:footnoteReference w:id="61"/>
      </w:r>
      <w:r w:rsidR="008C5E1A" w:rsidRPr="00724947">
        <w:rPr>
          <w:rFonts w:ascii="Garamond" w:hAnsi="Garamond"/>
        </w:rPr>
        <w:t xml:space="preserve"> Under </w:t>
      </w:r>
      <w:r w:rsidR="008560F6" w:rsidRPr="00724947">
        <w:rPr>
          <w:rFonts w:ascii="Garamond" w:hAnsi="Garamond"/>
          <w:lang w:val="en-AU"/>
        </w:rPr>
        <w:t>a</w:t>
      </w:r>
      <w:r w:rsidR="00F34130" w:rsidRPr="00724947">
        <w:rPr>
          <w:rFonts w:ascii="Garamond" w:hAnsi="Garamond"/>
          <w:lang w:val="en-AU"/>
        </w:rPr>
        <w:t>rt</w:t>
      </w:r>
      <w:r w:rsidR="00EF73AF" w:rsidRPr="00724947">
        <w:rPr>
          <w:rFonts w:ascii="Garamond" w:hAnsi="Garamond"/>
        </w:rPr>
        <w:t xml:space="preserve"> 9 of the Bill of Rights 1689</w:t>
      </w:r>
      <w:r w:rsidR="008C5E1A" w:rsidRPr="00724947">
        <w:rPr>
          <w:rFonts w:ascii="Garamond" w:hAnsi="Garamond"/>
        </w:rPr>
        <w:t xml:space="preserve">, freedom of speech and proceedings in Parliament are not to be impeached or </w:t>
      </w:r>
      <w:r w:rsidR="008C5E1A" w:rsidRPr="00724947">
        <w:rPr>
          <w:rFonts w:ascii="Garamond" w:hAnsi="Garamond"/>
        </w:rPr>
        <w:lastRenderedPageBreak/>
        <w:t>questioned in any court or place outside</w:t>
      </w:r>
      <w:r w:rsidR="008615BF" w:rsidRPr="00724947">
        <w:rPr>
          <w:rFonts w:ascii="Garamond" w:hAnsi="Garamond"/>
        </w:rPr>
        <w:t xml:space="preserve"> Parliament. </w:t>
      </w:r>
      <w:r w:rsidR="00EF73AF" w:rsidRPr="00724947">
        <w:rPr>
          <w:rFonts w:ascii="Garamond" w:hAnsi="Garamond"/>
        </w:rPr>
        <w:t xml:space="preserve">So we were being asked to consider </w:t>
      </w:r>
      <w:r w:rsidR="000612DD" w:rsidRPr="00724947">
        <w:rPr>
          <w:rFonts w:ascii="Garamond" w:hAnsi="Garamond"/>
        </w:rPr>
        <w:t>whether</w:t>
      </w:r>
      <w:r w:rsidRPr="00724947">
        <w:rPr>
          <w:rFonts w:ascii="Garamond" w:hAnsi="Garamond"/>
        </w:rPr>
        <w:t xml:space="preserve"> EU law </w:t>
      </w:r>
      <w:r w:rsidR="000612DD" w:rsidRPr="00724947">
        <w:rPr>
          <w:rFonts w:ascii="Garamond" w:hAnsi="Garamond"/>
        </w:rPr>
        <w:t xml:space="preserve">could prevail </w:t>
      </w:r>
      <w:r w:rsidRPr="00724947">
        <w:rPr>
          <w:rFonts w:ascii="Garamond" w:hAnsi="Garamond"/>
        </w:rPr>
        <w:t>over a ‘</w:t>
      </w:r>
      <w:r w:rsidR="00EF73AF" w:rsidRPr="00724947">
        <w:rPr>
          <w:rFonts w:ascii="Garamond" w:hAnsi="Garamond"/>
        </w:rPr>
        <w:t>provision of the highest constitutional importance</w:t>
      </w:r>
      <w:r w:rsidRPr="00724947">
        <w:rPr>
          <w:rFonts w:ascii="Garamond" w:hAnsi="Garamond"/>
        </w:rPr>
        <w:t>’</w:t>
      </w:r>
      <w:r w:rsidR="00EF73AF" w:rsidRPr="00724947">
        <w:rPr>
          <w:rFonts w:ascii="Garamond" w:hAnsi="Garamond"/>
        </w:rPr>
        <w:t>.</w:t>
      </w:r>
      <w:r w:rsidR="00EF73AF" w:rsidRPr="00724947">
        <w:rPr>
          <w:rStyle w:val="FootnoteReference"/>
          <w:rFonts w:ascii="Garamond" w:hAnsi="Garamond"/>
        </w:rPr>
        <w:footnoteReference w:id="62"/>
      </w:r>
      <w:r w:rsidR="000612DD" w:rsidRPr="00724947">
        <w:rPr>
          <w:rFonts w:ascii="Garamond" w:hAnsi="Garamond"/>
        </w:rPr>
        <w:t xml:space="preserve"> Curiously, no-one had raised </w:t>
      </w:r>
      <w:r w:rsidR="0032076F" w:rsidRPr="00724947">
        <w:rPr>
          <w:rFonts w:ascii="Garamond" w:hAnsi="Garamond"/>
        </w:rPr>
        <w:t xml:space="preserve">this point </w:t>
      </w:r>
      <w:r w:rsidR="000612DD" w:rsidRPr="00724947">
        <w:rPr>
          <w:rFonts w:ascii="Garamond" w:hAnsi="Garamond"/>
        </w:rPr>
        <w:t>until we did so ourselves in the Supreme Court.</w:t>
      </w:r>
      <w:r w:rsidRPr="00724947">
        <w:rPr>
          <w:rFonts w:ascii="Garamond" w:hAnsi="Garamond"/>
        </w:rPr>
        <w:t xml:space="preserve"> </w:t>
      </w:r>
      <w:r w:rsidR="000612DD" w:rsidRPr="00724947">
        <w:rPr>
          <w:rFonts w:ascii="Garamond" w:hAnsi="Garamond"/>
        </w:rPr>
        <w:t>It</w:t>
      </w:r>
      <w:r w:rsidRPr="00724947">
        <w:rPr>
          <w:rFonts w:ascii="Garamond" w:hAnsi="Garamond"/>
        </w:rPr>
        <w:t xml:space="preserve"> was, we all agreed, a matter for the constitutional law of the United Kingdom, not a matter for the </w:t>
      </w:r>
      <w:r w:rsidR="0032076F" w:rsidRPr="00724947">
        <w:rPr>
          <w:rFonts w:ascii="Garamond" w:hAnsi="Garamond"/>
        </w:rPr>
        <w:t>Luxembourg</w:t>
      </w:r>
      <w:r w:rsidRPr="00724947">
        <w:rPr>
          <w:rFonts w:ascii="Garamond" w:hAnsi="Garamond"/>
        </w:rPr>
        <w:t xml:space="preserve"> Court.</w:t>
      </w:r>
      <w:r w:rsidRPr="00724947">
        <w:rPr>
          <w:rStyle w:val="FootnoteReference"/>
          <w:rFonts w:ascii="Garamond" w:hAnsi="Garamond"/>
        </w:rPr>
        <w:footnoteReference w:id="63"/>
      </w:r>
    </w:p>
    <w:p w14:paraId="68AB2368" w14:textId="1082D352" w:rsidR="00E8002B" w:rsidRPr="00724947" w:rsidRDefault="00E8002B" w:rsidP="00222A1D">
      <w:pPr>
        <w:spacing w:before="120" w:line="360" w:lineRule="auto"/>
        <w:jc w:val="both"/>
        <w:rPr>
          <w:rFonts w:ascii="Garamond" w:hAnsi="Garamond"/>
        </w:rPr>
      </w:pPr>
      <w:r w:rsidRPr="00724947">
        <w:rPr>
          <w:rFonts w:ascii="Garamond" w:hAnsi="Garamond"/>
        </w:rPr>
        <w:t>The question was whether the 1972 Act had, as Lord Reed put it, written the EU institutions a blank cheque,</w:t>
      </w:r>
      <w:r w:rsidRPr="00724947">
        <w:rPr>
          <w:rStyle w:val="FootnoteReference"/>
          <w:rFonts w:ascii="Garamond" w:hAnsi="Garamond"/>
        </w:rPr>
        <w:footnoteReference w:id="64"/>
      </w:r>
      <w:r w:rsidRPr="00724947">
        <w:rPr>
          <w:rFonts w:ascii="Garamond" w:hAnsi="Garamond"/>
        </w:rPr>
        <w:t xml:space="preserve"> or whether it was still subject to </w:t>
      </w:r>
      <w:r w:rsidR="000612DD" w:rsidRPr="00724947">
        <w:rPr>
          <w:rFonts w:ascii="Garamond" w:hAnsi="Garamond"/>
        </w:rPr>
        <w:t xml:space="preserve">the </w:t>
      </w:r>
      <w:r w:rsidRPr="00724947">
        <w:rPr>
          <w:rFonts w:ascii="Garamond" w:hAnsi="Garamond"/>
        </w:rPr>
        <w:t xml:space="preserve">general rules of statutory interpretation. Just as fundamental rights can only be abrogated by express statutory provision, </w:t>
      </w:r>
      <w:r w:rsidR="005E4626" w:rsidRPr="00724947">
        <w:rPr>
          <w:rFonts w:ascii="Garamond" w:hAnsi="Garamond"/>
        </w:rPr>
        <w:t xml:space="preserve">a statute of fundamental constitutional importance, such as the European Communities Act itself, cannot be impliedly repealed or amended by a later ordinary statute. It has to be done expressly. Thus, in the ‘Metric Martyrs’ case, the Weights and Measures Act 1985, which allowed the use of imperial weights and measures, had not impliedly repealed the power </w:t>
      </w:r>
      <w:r w:rsidR="00C72348" w:rsidRPr="00724947">
        <w:rPr>
          <w:rFonts w:ascii="Garamond" w:hAnsi="Garamond"/>
        </w:rPr>
        <w:t xml:space="preserve">contained in the European Communities Act </w:t>
      </w:r>
      <w:r w:rsidR="005E4626" w:rsidRPr="00724947">
        <w:rPr>
          <w:rFonts w:ascii="Garamond" w:hAnsi="Garamond"/>
        </w:rPr>
        <w:t>to make delegated legislation so as to conform our law to an EU Directive requiring the use of metric measures.</w:t>
      </w:r>
      <w:r w:rsidR="005E4626" w:rsidRPr="00724947">
        <w:rPr>
          <w:rStyle w:val="FootnoteReference"/>
          <w:rFonts w:ascii="Garamond" w:hAnsi="Garamond"/>
        </w:rPr>
        <w:footnoteReference w:id="65"/>
      </w:r>
      <w:r w:rsidR="005E4626" w:rsidRPr="00724947">
        <w:rPr>
          <w:rFonts w:ascii="Garamond" w:hAnsi="Garamond"/>
        </w:rPr>
        <w:t xml:space="preserve"> But could the same apply as between two statutes of constitutional importance, so that the European Communities Act 1972 had not provided for the implied repeal of such a </w:t>
      </w:r>
      <w:r w:rsidR="008615BF" w:rsidRPr="00724947">
        <w:rPr>
          <w:rFonts w:ascii="Garamond" w:hAnsi="Garamond"/>
        </w:rPr>
        <w:t>fundamental principle as art</w:t>
      </w:r>
      <w:r w:rsidR="005E4626" w:rsidRPr="00724947">
        <w:rPr>
          <w:rFonts w:ascii="Garamond" w:hAnsi="Garamond"/>
        </w:rPr>
        <w:t xml:space="preserve"> 9 of the Bill of Rights</w:t>
      </w:r>
      <w:r w:rsidR="008615BF" w:rsidRPr="00724947">
        <w:rPr>
          <w:rFonts w:ascii="Garamond" w:hAnsi="Garamond"/>
        </w:rPr>
        <w:t xml:space="preserve"> 168</w:t>
      </w:r>
      <w:r w:rsidR="006322F1" w:rsidRPr="00724947">
        <w:rPr>
          <w:rFonts w:ascii="Garamond" w:hAnsi="Garamond"/>
        </w:rPr>
        <w:t>9</w:t>
      </w:r>
      <w:r w:rsidRPr="00724947">
        <w:rPr>
          <w:rFonts w:ascii="Garamond" w:hAnsi="Garamond"/>
        </w:rPr>
        <w:t xml:space="preserve">? </w:t>
      </w:r>
    </w:p>
    <w:p w14:paraId="247452BC" w14:textId="13A59372" w:rsidR="00E8002B" w:rsidRPr="00724947" w:rsidRDefault="00E8002B" w:rsidP="00222A1D">
      <w:pPr>
        <w:spacing w:before="120" w:line="360" w:lineRule="auto"/>
        <w:jc w:val="both"/>
        <w:rPr>
          <w:rFonts w:ascii="Garamond" w:hAnsi="Garamond"/>
        </w:rPr>
      </w:pPr>
      <w:r w:rsidRPr="00724947">
        <w:rPr>
          <w:rFonts w:ascii="Garamond" w:hAnsi="Garamond"/>
        </w:rPr>
        <w:t xml:space="preserve">Lord Reed thought </w:t>
      </w:r>
      <w:r w:rsidR="005E4626" w:rsidRPr="00724947">
        <w:rPr>
          <w:rFonts w:ascii="Garamond" w:hAnsi="Garamond"/>
        </w:rPr>
        <w:t xml:space="preserve">that </w:t>
      </w:r>
      <w:r w:rsidRPr="00724947">
        <w:rPr>
          <w:rFonts w:ascii="Garamond" w:hAnsi="Garamond"/>
        </w:rPr>
        <w:t xml:space="preserve">there was much to be said for the view of the German Federal Constitutional Court that a decision of the </w:t>
      </w:r>
      <w:r w:rsidR="0032076F" w:rsidRPr="00724947">
        <w:rPr>
          <w:rFonts w:ascii="Garamond" w:hAnsi="Garamond"/>
        </w:rPr>
        <w:t xml:space="preserve">Luxembourg </w:t>
      </w:r>
      <w:r w:rsidRPr="00724947">
        <w:rPr>
          <w:rFonts w:ascii="Garamond" w:hAnsi="Garamond"/>
        </w:rPr>
        <w:t xml:space="preserve">Court should not be read by a national court in a way </w:t>
      </w:r>
      <w:r w:rsidR="00827295" w:rsidRPr="00724947">
        <w:rPr>
          <w:rFonts w:ascii="Garamond" w:hAnsi="Garamond"/>
        </w:rPr>
        <w:t>which</w:t>
      </w:r>
      <w:r w:rsidRPr="00724947">
        <w:rPr>
          <w:rFonts w:ascii="Garamond" w:hAnsi="Garamond"/>
        </w:rPr>
        <w:t xml:space="preserve"> placed in question the national constitutional order.</w:t>
      </w:r>
      <w:r w:rsidR="00CB14D1" w:rsidRPr="00724947">
        <w:rPr>
          <w:rStyle w:val="FootnoteReference"/>
          <w:rFonts w:ascii="Garamond" w:hAnsi="Garamond"/>
        </w:rPr>
        <w:footnoteReference w:id="66"/>
      </w:r>
      <w:r w:rsidRPr="00724947">
        <w:rPr>
          <w:rFonts w:ascii="Garamond" w:hAnsi="Garamond"/>
        </w:rPr>
        <w:t xml:space="preserve"> </w:t>
      </w:r>
      <w:r w:rsidR="00827295" w:rsidRPr="00724947">
        <w:rPr>
          <w:rFonts w:ascii="Garamond" w:hAnsi="Garamond"/>
        </w:rPr>
        <w:t>That</w:t>
      </w:r>
      <w:r w:rsidRPr="00724947">
        <w:rPr>
          <w:rFonts w:ascii="Garamond" w:hAnsi="Garamond"/>
        </w:rPr>
        <w:t xml:space="preserve"> is the </w:t>
      </w:r>
      <w:r w:rsidR="00827295" w:rsidRPr="00724947">
        <w:rPr>
          <w:rFonts w:ascii="Garamond" w:hAnsi="Garamond"/>
        </w:rPr>
        <w:t>counterpart to</w:t>
      </w:r>
      <w:r w:rsidRPr="00724947">
        <w:rPr>
          <w:rFonts w:ascii="Garamond" w:hAnsi="Garamond"/>
        </w:rPr>
        <w:t xml:space="preserve"> the principle </w:t>
      </w:r>
      <w:r w:rsidR="00827295" w:rsidRPr="00724947">
        <w:rPr>
          <w:rFonts w:ascii="Garamond" w:hAnsi="Garamond"/>
        </w:rPr>
        <w:t xml:space="preserve">they had </w:t>
      </w:r>
      <w:r w:rsidR="00CB14D1" w:rsidRPr="00724947">
        <w:rPr>
          <w:rFonts w:ascii="Garamond" w:hAnsi="Garamond"/>
        </w:rPr>
        <w:t xml:space="preserve">earlier </w:t>
      </w:r>
      <w:r w:rsidRPr="00724947">
        <w:rPr>
          <w:rFonts w:ascii="Garamond" w:hAnsi="Garamond"/>
        </w:rPr>
        <w:t>developed that national laws will be interpreted consistently with EU law, so long as this does not conflict with fundamental constitutional principles.</w:t>
      </w:r>
      <w:r w:rsidR="00CB14D1" w:rsidRPr="00724947">
        <w:rPr>
          <w:rStyle w:val="FootnoteReference"/>
          <w:rFonts w:ascii="Garamond" w:hAnsi="Garamond"/>
        </w:rPr>
        <w:footnoteReference w:id="67"/>
      </w:r>
      <w:r w:rsidR="005E4626" w:rsidRPr="00724947">
        <w:rPr>
          <w:rFonts w:ascii="Garamond" w:hAnsi="Garamond"/>
        </w:rPr>
        <w:t xml:space="preserve"> In the end, the problem did not arise, because we held that the proposed Parliamentary procedure </w:t>
      </w:r>
      <w:r w:rsidR="00A2171E" w:rsidRPr="00724947">
        <w:rPr>
          <w:rFonts w:ascii="Garamond" w:hAnsi="Garamond"/>
        </w:rPr>
        <w:t>would meet the requirements of the Directive. I</w:t>
      </w:r>
      <w:r w:rsidRPr="00724947">
        <w:rPr>
          <w:rFonts w:ascii="Garamond" w:hAnsi="Garamond"/>
        </w:rPr>
        <w:t xml:space="preserve">t was obviously a substantive </w:t>
      </w:r>
      <w:r w:rsidR="00C72348" w:rsidRPr="00724947">
        <w:rPr>
          <w:rFonts w:ascii="Garamond" w:hAnsi="Garamond"/>
        </w:rPr>
        <w:t xml:space="preserve">rather than a fictional </w:t>
      </w:r>
      <w:r w:rsidRPr="00724947">
        <w:rPr>
          <w:rFonts w:ascii="Garamond" w:hAnsi="Garamond"/>
        </w:rPr>
        <w:t>legislative process</w:t>
      </w:r>
      <w:r w:rsidR="00131B8D" w:rsidRPr="00724947">
        <w:rPr>
          <w:rFonts w:ascii="Garamond" w:hAnsi="Garamond"/>
        </w:rPr>
        <w:t>,</w:t>
      </w:r>
      <w:r w:rsidRPr="00724947">
        <w:rPr>
          <w:rFonts w:ascii="Garamond" w:hAnsi="Garamond"/>
        </w:rPr>
        <w:t xml:space="preserve"> appropriate information would be available </w:t>
      </w:r>
      <w:r w:rsidR="00A2171E" w:rsidRPr="00724947">
        <w:rPr>
          <w:rFonts w:ascii="Garamond" w:hAnsi="Garamond"/>
        </w:rPr>
        <w:t xml:space="preserve">to members of the legislature </w:t>
      </w:r>
      <w:r w:rsidRPr="00724947">
        <w:rPr>
          <w:rFonts w:ascii="Garamond" w:hAnsi="Garamond"/>
        </w:rPr>
        <w:t xml:space="preserve">and there was nothing in the case law to suggest that the influence of political parties or the Government over voting was incompatible with </w:t>
      </w:r>
      <w:r w:rsidR="00F34130" w:rsidRPr="00724947">
        <w:rPr>
          <w:rFonts w:ascii="Garamond" w:hAnsi="Garamond"/>
          <w:lang w:val="en-AU"/>
        </w:rPr>
        <w:t>art</w:t>
      </w:r>
      <w:r w:rsidRPr="00724947">
        <w:rPr>
          <w:rFonts w:ascii="Garamond" w:hAnsi="Garamond"/>
        </w:rPr>
        <w:t xml:space="preserve"> 1(4).</w:t>
      </w:r>
      <w:r w:rsidR="001E775D" w:rsidRPr="00724947">
        <w:rPr>
          <w:rStyle w:val="FootnoteReference"/>
          <w:rFonts w:ascii="Garamond" w:hAnsi="Garamond"/>
          <w:lang w:val="en-AU"/>
        </w:rPr>
        <w:footnoteReference w:id="68"/>
      </w:r>
    </w:p>
    <w:p w14:paraId="6E2F6777" w14:textId="2ACE051D" w:rsidR="00A2171E" w:rsidRPr="00724947" w:rsidRDefault="00A2171E" w:rsidP="00222A1D">
      <w:pPr>
        <w:spacing w:before="120" w:line="360" w:lineRule="auto"/>
        <w:jc w:val="both"/>
        <w:rPr>
          <w:rFonts w:ascii="Garamond" w:hAnsi="Garamond"/>
        </w:rPr>
      </w:pPr>
      <w:r w:rsidRPr="00724947">
        <w:rPr>
          <w:rFonts w:ascii="Garamond" w:hAnsi="Garamond"/>
        </w:rPr>
        <w:t xml:space="preserve">The other way in which the UK Parliament </w:t>
      </w:r>
      <w:r w:rsidR="00C72348" w:rsidRPr="00724947">
        <w:rPr>
          <w:rFonts w:ascii="Garamond" w:hAnsi="Garamond"/>
        </w:rPr>
        <w:t xml:space="preserve">has </w:t>
      </w:r>
      <w:r w:rsidRPr="00724947">
        <w:rPr>
          <w:rFonts w:ascii="Garamond" w:hAnsi="Garamond"/>
        </w:rPr>
        <w:t xml:space="preserve">ceded power upwards is </w:t>
      </w:r>
      <w:r w:rsidR="00C72348" w:rsidRPr="00724947">
        <w:rPr>
          <w:rFonts w:ascii="Garamond" w:hAnsi="Garamond"/>
        </w:rPr>
        <w:t>through</w:t>
      </w:r>
      <w:r w:rsidRPr="00724947">
        <w:rPr>
          <w:rFonts w:ascii="Garamond" w:hAnsi="Garamond"/>
        </w:rPr>
        <w:t xml:space="preserve"> the Human Rights Act 1998. But this is a much weaker concession than that in the European Communities Act</w:t>
      </w:r>
      <w:r w:rsidR="004553E3" w:rsidRPr="00724947">
        <w:rPr>
          <w:rFonts w:ascii="Garamond" w:hAnsi="Garamond"/>
        </w:rPr>
        <w:t xml:space="preserve"> 1972</w:t>
      </w:r>
      <w:r w:rsidRPr="00724947">
        <w:rPr>
          <w:rFonts w:ascii="Garamond" w:hAnsi="Garamond"/>
        </w:rPr>
        <w:t>. The 1998 Act does impose upon the courts a similar duty of ‘conforming interpretation’ so that all legislation has, so far as possible, to be read and given effect in a way which is compatible with the Convention rights.</w:t>
      </w:r>
      <w:r w:rsidRPr="00724947">
        <w:rPr>
          <w:rStyle w:val="FootnoteReference"/>
          <w:rFonts w:ascii="Garamond" w:hAnsi="Garamond"/>
        </w:rPr>
        <w:footnoteReference w:id="69"/>
      </w:r>
      <w:r w:rsidRPr="00724947">
        <w:rPr>
          <w:rFonts w:ascii="Garamond" w:hAnsi="Garamond"/>
        </w:rPr>
        <w:t xml:space="preserve"> </w:t>
      </w:r>
      <w:r w:rsidRPr="00724947">
        <w:rPr>
          <w:rFonts w:ascii="Garamond" w:hAnsi="Garamond"/>
        </w:rPr>
        <w:lastRenderedPageBreak/>
        <w:t xml:space="preserve">This was always intended to be the principal means of </w:t>
      </w:r>
      <w:r w:rsidR="00C72348" w:rsidRPr="00724947">
        <w:rPr>
          <w:rFonts w:ascii="Garamond" w:hAnsi="Garamond"/>
        </w:rPr>
        <w:t>curing</w:t>
      </w:r>
      <w:r w:rsidRPr="00724947">
        <w:rPr>
          <w:rFonts w:ascii="Garamond" w:hAnsi="Garamond"/>
        </w:rPr>
        <w:t xml:space="preserve"> statutory provisions which turned out to be incompatible. So the UK courts have simply applied the techniques with which they were already familiar as a result of EU law. In the leading case of </w:t>
      </w:r>
      <w:proofErr w:type="spellStart"/>
      <w:r w:rsidR="00C72348" w:rsidRPr="00724947">
        <w:rPr>
          <w:rFonts w:ascii="Garamond" w:hAnsi="Garamond"/>
          <w:i/>
        </w:rPr>
        <w:t>Ghaidan</w:t>
      </w:r>
      <w:proofErr w:type="spellEnd"/>
      <w:r w:rsidR="00C72348" w:rsidRPr="00724947">
        <w:rPr>
          <w:rFonts w:ascii="Garamond" w:hAnsi="Garamond"/>
          <w:i/>
        </w:rPr>
        <w:t xml:space="preserve"> v Godin-</w:t>
      </w:r>
      <w:r w:rsidRPr="00724947">
        <w:rPr>
          <w:rFonts w:ascii="Garamond" w:hAnsi="Garamond"/>
          <w:i/>
        </w:rPr>
        <w:t>Mendoza</w:t>
      </w:r>
      <w:r w:rsidRPr="00724947">
        <w:rPr>
          <w:rFonts w:ascii="Garamond" w:hAnsi="Garamond"/>
        </w:rPr>
        <w:t>,</w:t>
      </w:r>
      <w:r w:rsidRPr="00724947">
        <w:rPr>
          <w:rStyle w:val="FootnoteReference"/>
          <w:rFonts w:ascii="Garamond" w:hAnsi="Garamond"/>
        </w:rPr>
        <w:footnoteReference w:id="70"/>
      </w:r>
      <w:r w:rsidRPr="00724947">
        <w:rPr>
          <w:rFonts w:ascii="Garamond" w:hAnsi="Garamond"/>
        </w:rPr>
        <w:t xml:space="preserve"> for example, the majority had little difficulty in reading ‘living together as husband and wife’ to include a same sex couple. We did not even see the need to read in the words ‘as if they were’, although that might have gone some way to assuaging the dissenter, who thought that ‘husband’ and ‘wife’ had necessarily to mean a man and a woman. </w:t>
      </w:r>
    </w:p>
    <w:p w14:paraId="65494850" w14:textId="779AEEB8" w:rsidR="00BB0E39" w:rsidRPr="00724947" w:rsidRDefault="00BB0E39" w:rsidP="00222A1D">
      <w:pPr>
        <w:spacing w:before="120" w:line="360" w:lineRule="auto"/>
        <w:jc w:val="both"/>
        <w:rPr>
          <w:rFonts w:ascii="Garamond" w:hAnsi="Garamond"/>
        </w:rPr>
      </w:pPr>
      <w:r w:rsidRPr="00724947">
        <w:rPr>
          <w:rFonts w:ascii="Garamond" w:hAnsi="Garamond"/>
        </w:rPr>
        <w:t>But sometimes it is not possible to read a legislative provision compatibly. If it is in subordinate legisl</w:t>
      </w:r>
      <w:r w:rsidR="00131B8D" w:rsidRPr="00724947">
        <w:rPr>
          <w:rFonts w:ascii="Garamond" w:hAnsi="Garamond"/>
        </w:rPr>
        <w:t>ation, it</w:t>
      </w:r>
      <w:r w:rsidR="00042CEF" w:rsidRPr="00724947">
        <w:rPr>
          <w:rFonts w:ascii="Garamond" w:hAnsi="Garamond"/>
        </w:rPr>
        <w:t xml:space="preserve"> has to be disregarded</w:t>
      </w:r>
      <w:r w:rsidR="00131B8D" w:rsidRPr="00724947">
        <w:rPr>
          <w:rFonts w:ascii="Garamond" w:hAnsi="Garamond"/>
        </w:rPr>
        <w:t>.</w:t>
      </w:r>
      <w:r w:rsidRPr="00724947">
        <w:rPr>
          <w:rFonts w:ascii="Garamond" w:hAnsi="Garamond"/>
        </w:rPr>
        <w:t xml:space="preserve"> </w:t>
      </w:r>
      <w:r w:rsidR="00131B8D" w:rsidRPr="00724947">
        <w:rPr>
          <w:rFonts w:ascii="Garamond" w:hAnsi="Garamond"/>
        </w:rPr>
        <w:t>This</w:t>
      </w:r>
      <w:r w:rsidRPr="00724947">
        <w:rPr>
          <w:rFonts w:ascii="Garamond" w:hAnsi="Garamond"/>
        </w:rPr>
        <w:t xml:space="preserve"> happened</w:t>
      </w:r>
      <w:r w:rsidR="00131B8D" w:rsidRPr="00724947">
        <w:rPr>
          <w:rFonts w:ascii="Garamond" w:hAnsi="Garamond"/>
        </w:rPr>
        <w:t>, for example,</w:t>
      </w:r>
      <w:r w:rsidRPr="00724947">
        <w:rPr>
          <w:rFonts w:ascii="Garamond" w:hAnsi="Garamond"/>
        </w:rPr>
        <w:t xml:space="preserve"> with the provision in the Northern Ireland Adoption Order limiting joint adoptions to married couples only.</w:t>
      </w:r>
      <w:r w:rsidRPr="00724947">
        <w:rPr>
          <w:rStyle w:val="FootnoteReference"/>
          <w:rFonts w:ascii="Garamond" w:hAnsi="Garamond"/>
        </w:rPr>
        <w:footnoteReference w:id="71"/>
      </w:r>
      <w:r w:rsidR="00A47C72" w:rsidRPr="00724947">
        <w:rPr>
          <w:rFonts w:ascii="Garamond" w:hAnsi="Garamond"/>
        </w:rPr>
        <w:t xml:space="preserve"> </w:t>
      </w:r>
      <w:r w:rsidRPr="00724947">
        <w:rPr>
          <w:rFonts w:ascii="Garamond" w:hAnsi="Garamond"/>
        </w:rPr>
        <w:t>But if it is in an Act of Parliament, it cannot be ignored. The most we can do is make a declaration of incompatibility.</w:t>
      </w:r>
      <w:r w:rsidR="001D6419" w:rsidRPr="00724947">
        <w:rPr>
          <w:rStyle w:val="FootnoteReference"/>
          <w:rFonts w:ascii="Garamond" w:hAnsi="Garamond"/>
        </w:rPr>
        <w:footnoteReference w:id="72"/>
      </w:r>
      <w:r w:rsidRPr="00724947">
        <w:rPr>
          <w:rFonts w:ascii="Garamond" w:hAnsi="Garamond"/>
        </w:rPr>
        <w:t xml:space="preserve"> This has no effect on the validity of the provision, or of anything done under it. It is left to Parliament to decide what, if anything to do about it. It </w:t>
      </w:r>
      <w:r w:rsidR="00131B8D" w:rsidRPr="00724947">
        <w:rPr>
          <w:rFonts w:ascii="Garamond" w:hAnsi="Garamond"/>
        </w:rPr>
        <w:t xml:space="preserve">has three choices: it </w:t>
      </w:r>
      <w:r w:rsidRPr="00724947">
        <w:rPr>
          <w:rFonts w:ascii="Garamond" w:hAnsi="Garamond"/>
        </w:rPr>
        <w:t>may either approve a fast track remedial Order in Council</w:t>
      </w:r>
      <w:r w:rsidR="001D6419" w:rsidRPr="00724947">
        <w:rPr>
          <w:rStyle w:val="FootnoteReference"/>
          <w:rFonts w:ascii="Garamond" w:hAnsi="Garamond"/>
        </w:rPr>
        <w:footnoteReference w:id="73"/>
      </w:r>
      <w:r w:rsidRPr="00724947">
        <w:rPr>
          <w:rFonts w:ascii="Garamond" w:hAnsi="Garamond"/>
        </w:rPr>
        <w:t xml:space="preserve"> putting the matter right; or enact a whole new legislative scheme; or wait to see what the Council of Europe</w:t>
      </w:r>
      <w:r w:rsidR="00131B8D" w:rsidRPr="00724947">
        <w:rPr>
          <w:rFonts w:ascii="Garamond" w:hAnsi="Garamond"/>
        </w:rPr>
        <w:t>’s</w:t>
      </w:r>
      <w:r w:rsidRPr="00724947">
        <w:rPr>
          <w:rFonts w:ascii="Garamond" w:hAnsi="Garamond"/>
        </w:rPr>
        <w:t xml:space="preserve"> enforcement machinery </w:t>
      </w:r>
      <w:r w:rsidR="00131B8D" w:rsidRPr="00724947">
        <w:rPr>
          <w:rFonts w:ascii="Garamond" w:hAnsi="Garamond"/>
        </w:rPr>
        <w:t>decides to do</w:t>
      </w:r>
      <w:r w:rsidRPr="00724947">
        <w:rPr>
          <w:rFonts w:ascii="Garamond" w:hAnsi="Garamond"/>
        </w:rPr>
        <w:t xml:space="preserve">. </w:t>
      </w:r>
    </w:p>
    <w:p w14:paraId="69423E2B" w14:textId="07F6FEA1" w:rsidR="00BB0E39" w:rsidRPr="00724947" w:rsidRDefault="00FF4119" w:rsidP="00222A1D">
      <w:pPr>
        <w:spacing w:before="120" w:line="360" w:lineRule="auto"/>
        <w:jc w:val="both"/>
        <w:rPr>
          <w:rFonts w:ascii="Garamond" w:hAnsi="Garamond"/>
        </w:rPr>
      </w:pPr>
      <w:r w:rsidRPr="00724947">
        <w:rPr>
          <w:rFonts w:ascii="Garamond" w:hAnsi="Garamond"/>
        </w:rPr>
        <w:t>It is greatly to the credit of G</w:t>
      </w:r>
      <w:r w:rsidR="00BB0E39" w:rsidRPr="00724947">
        <w:rPr>
          <w:rFonts w:ascii="Garamond" w:hAnsi="Garamond"/>
        </w:rPr>
        <w:t>overnment and Parliament that, with one notable exception, they have so far respected the decisions of the courts on these compatibility issues.</w:t>
      </w:r>
      <w:r w:rsidR="004553E3" w:rsidRPr="00724947">
        <w:rPr>
          <w:rStyle w:val="FootnoteReference"/>
          <w:rFonts w:ascii="Garamond" w:hAnsi="Garamond"/>
        </w:rPr>
        <w:footnoteReference w:id="74"/>
      </w:r>
      <w:r w:rsidR="00BB0E39" w:rsidRPr="00724947">
        <w:rPr>
          <w:rFonts w:ascii="Garamond" w:hAnsi="Garamond"/>
        </w:rPr>
        <w:t xml:space="preserve"> There is, as far as I know, no case where Parliament has legislated to reverse one of our conforming interpretations, although it cl</w:t>
      </w:r>
      <w:r w:rsidR="00131B8D" w:rsidRPr="00724947">
        <w:rPr>
          <w:rFonts w:ascii="Garamond" w:hAnsi="Garamond"/>
        </w:rPr>
        <w:t>early could do so. Indeed, it has been</w:t>
      </w:r>
      <w:r w:rsidR="00BB0E39" w:rsidRPr="00724947">
        <w:rPr>
          <w:rFonts w:ascii="Garamond" w:hAnsi="Garamond"/>
        </w:rPr>
        <w:t xml:space="preserve"> our impression that, if we find a provision incompatible, the </w:t>
      </w:r>
      <w:r w:rsidR="007A3D3B" w:rsidRPr="00724947">
        <w:rPr>
          <w:rFonts w:ascii="Garamond" w:hAnsi="Garamond"/>
        </w:rPr>
        <w:t xml:space="preserve">Government </w:t>
      </w:r>
      <w:r w:rsidR="00BB0E39" w:rsidRPr="00724947">
        <w:rPr>
          <w:rFonts w:ascii="Garamond" w:hAnsi="Garamond"/>
        </w:rPr>
        <w:t>would usually prefer us to cure the matter for them, rather than make a declaration of incompatibility which puts the ball in their court.</w:t>
      </w:r>
      <w:r w:rsidR="00BB0E39" w:rsidRPr="00724947">
        <w:rPr>
          <w:rStyle w:val="FootnoteReference"/>
          <w:rFonts w:ascii="Garamond" w:hAnsi="Garamond"/>
        </w:rPr>
        <w:footnoteReference w:id="75"/>
      </w:r>
      <w:r w:rsidR="00BB0E39" w:rsidRPr="00724947">
        <w:rPr>
          <w:rFonts w:ascii="Garamond" w:hAnsi="Garamond"/>
        </w:rPr>
        <w:t xml:space="preserve"> There have </w:t>
      </w:r>
      <w:r w:rsidR="00AD4745" w:rsidRPr="00724947">
        <w:rPr>
          <w:rFonts w:ascii="Garamond" w:hAnsi="Garamond"/>
        </w:rPr>
        <w:t>been to date, I believe, some 20</w:t>
      </w:r>
      <w:r w:rsidR="00BB0E39" w:rsidRPr="00724947">
        <w:rPr>
          <w:rFonts w:ascii="Garamond" w:hAnsi="Garamond"/>
        </w:rPr>
        <w:t xml:space="preserve"> declarations of incompatibility which have survived the appellat</w:t>
      </w:r>
      <w:r w:rsidR="00AD4745" w:rsidRPr="00724947">
        <w:rPr>
          <w:rFonts w:ascii="Garamond" w:hAnsi="Garamond"/>
        </w:rPr>
        <w:t>e process.</w:t>
      </w:r>
      <w:r w:rsidR="00AD4745" w:rsidRPr="00724947">
        <w:rPr>
          <w:rStyle w:val="FootnoteReference"/>
          <w:rFonts w:ascii="Garamond" w:hAnsi="Garamond"/>
        </w:rPr>
        <w:footnoteReference w:id="76"/>
      </w:r>
      <w:r w:rsidR="00AD4745" w:rsidRPr="00724947">
        <w:rPr>
          <w:rFonts w:ascii="Garamond" w:hAnsi="Garamond"/>
        </w:rPr>
        <w:t xml:space="preserve"> All of tho</w:t>
      </w:r>
      <w:r w:rsidR="00BB0E39" w:rsidRPr="00724947">
        <w:rPr>
          <w:rFonts w:ascii="Garamond" w:hAnsi="Garamond"/>
        </w:rPr>
        <w:t xml:space="preserve">se </w:t>
      </w:r>
      <w:r w:rsidR="00AD4745" w:rsidRPr="00724947">
        <w:rPr>
          <w:rFonts w:ascii="Garamond" w:hAnsi="Garamond"/>
        </w:rPr>
        <w:t xml:space="preserve">that needed action </w:t>
      </w:r>
      <w:r w:rsidR="00BB0E39" w:rsidRPr="00724947">
        <w:rPr>
          <w:rFonts w:ascii="Garamond" w:hAnsi="Garamond"/>
        </w:rPr>
        <w:t xml:space="preserve">have been put right, with one exception. The </w:t>
      </w:r>
      <w:r w:rsidR="007A3D3B" w:rsidRPr="00724947">
        <w:rPr>
          <w:rFonts w:ascii="Garamond" w:hAnsi="Garamond"/>
        </w:rPr>
        <w:t xml:space="preserve">Government </w:t>
      </w:r>
      <w:r w:rsidR="00BB0E39" w:rsidRPr="00724947">
        <w:rPr>
          <w:rFonts w:ascii="Garamond" w:hAnsi="Garamond"/>
        </w:rPr>
        <w:t>has still not pr</w:t>
      </w:r>
      <w:r w:rsidR="001D6419" w:rsidRPr="00724947">
        <w:rPr>
          <w:rFonts w:ascii="Garamond" w:hAnsi="Garamond"/>
        </w:rPr>
        <w:t xml:space="preserve">omoted legislation to give any </w:t>
      </w:r>
      <w:r w:rsidR="00BB0E39" w:rsidRPr="00724947">
        <w:rPr>
          <w:rFonts w:ascii="Garamond" w:hAnsi="Garamond"/>
        </w:rPr>
        <w:t>senten</w:t>
      </w:r>
      <w:r w:rsidR="00724947" w:rsidRPr="00724947">
        <w:rPr>
          <w:rFonts w:ascii="Garamond" w:hAnsi="Garamond"/>
        </w:rPr>
        <w:t>ced prisoners the right to vote.</w:t>
      </w:r>
    </w:p>
    <w:p w14:paraId="1F3B1FCA" w14:textId="2E65677F" w:rsidR="0020737C" w:rsidRPr="00724947" w:rsidRDefault="00EA5CE3" w:rsidP="00222A1D">
      <w:pPr>
        <w:spacing w:before="120" w:line="360" w:lineRule="auto"/>
        <w:jc w:val="both"/>
        <w:rPr>
          <w:rFonts w:ascii="Garamond" w:hAnsi="Garamond"/>
        </w:rPr>
      </w:pPr>
      <w:r w:rsidRPr="00724947">
        <w:rPr>
          <w:rFonts w:ascii="Garamond" w:hAnsi="Garamond"/>
        </w:rPr>
        <w:t xml:space="preserve">We await with interest what the government proposes to do with the Human Rights Act. We will, of course, continue to do whatever Parliament tells us to do. </w:t>
      </w:r>
    </w:p>
    <w:p w14:paraId="77AB893E" w14:textId="35534D67" w:rsidR="00FB4C5B" w:rsidRPr="00724947" w:rsidRDefault="00EA5CE3" w:rsidP="00222A1D">
      <w:pPr>
        <w:spacing w:before="120" w:line="360" w:lineRule="auto"/>
        <w:jc w:val="both"/>
        <w:rPr>
          <w:rFonts w:ascii="Garamond" w:hAnsi="Garamond"/>
        </w:rPr>
      </w:pPr>
      <w:r w:rsidRPr="00724947">
        <w:rPr>
          <w:rFonts w:ascii="Garamond" w:hAnsi="Garamond"/>
        </w:rPr>
        <w:lastRenderedPageBreak/>
        <w:t xml:space="preserve">But one noticeable effect of the Human Rights Act </w:t>
      </w:r>
      <w:r w:rsidR="007A3D3B" w:rsidRPr="00724947">
        <w:rPr>
          <w:rFonts w:ascii="Garamond" w:hAnsi="Garamond"/>
        </w:rPr>
        <w:t xml:space="preserve">1998 </w:t>
      </w:r>
      <w:r w:rsidR="00131B8D" w:rsidRPr="00724947">
        <w:rPr>
          <w:rFonts w:ascii="Garamond" w:hAnsi="Garamond"/>
        </w:rPr>
        <w:t xml:space="preserve">(because it has prompted claims which might not previously have been made) </w:t>
      </w:r>
      <w:r w:rsidRPr="00724947">
        <w:rPr>
          <w:rFonts w:ascii="Garamond" w:hAnsi="Garamond"/>
        </w:rPr>
        <w:t>has been an increased</w:t>
      </w:r>
      <w:r w:rsidR="0020737C" w:rsidRPr="00724947">
        <w:rPr>
          <w:rFonts w:ascii="Garamond" w:hAnsi="Garamond"/>
        </w:rPr>
        <w:t xml:space="preserve"> emphasis on the common law and distinctively UK constitutional principles as a source of fundamental rights and freedoms.</w:t>
      </w:r>
      <w:r w:rsidR="00AD4745" w:rsidRPr="00724947">
        <w:rPr>
          <w:rStyle w:val="FootnoteReference"/>
          <w:rFonts w:ascii="Garamond" w:hAnsi="Garamond"/>
        </w:rPr>
        <w:footnoteReference w:id="77"/>
      </w:r>
      <w:r w:rsidR="0020737C" w:rsidRPr="00724947">
        <w:rPr>
          <w:rFonts w:ascii="Garamond" w:hAnsi="Garamond"/>
        </w:rPr>
        <w:t xml:space="preserve"> </w:t>
      </w:r>
      <w:r w:rsidR="00FB4C5B" w:rsidRPr="00724947">
        <w:rPr>
          <w:rFonts w:ascii="Garamond" w:hAnsi="Garamond"/>
        </w:rPr>
        <w:t xml:space="preserve">In </w:t>
      </w:r>
      <w:r w:rsidR="00FB4C5B" w:rsidRPr="00724947">
        <w:rPr>
          <w:rFonts w:ascii="Garamond" w:hAnsi="Garamond"/>
          <w:i/>
        </w:rPr>
        <w:t>Kennedy v The Charity Commission</w:t>
      </w:r>
      <w:r w:rsidR="00FB4C5B" w:rsidRPr="00724947">
        <w:rPr>
          <w:rFonts w:ascii="Garamond" w:hAnsi="Garamond"/>
        </w:rPr>
        <w:t>,</w:t>
      </w:r>
      <w:r w:rsidR="00FB4C5B" w:rsidRPr="00724947">
        <w:rPr>
          <w:rStyle w:val="FootnoteReference"/>
          <w:rFonts w:ascii="Garamond" w:hAnsi="Garamond"/>
        </w:rPr>
        <w:footnoteReference w:id="78"/>
      </w:r>
      <w:r w:rsidR="00FB4C5B" w:rsidRPr="00724947">
        <w:rPr>
          <w:rFonts w:ascii="Garamond" w:hAnsi="Garamond"/>
        </w:rPr>
        <w:t xml:space="preserve"> for example,</w:t>
      </w:r>
      <w:r w:rsidR="0020737C" w:rsidRPr="00724947">
        <w:rPr>
          <w:rFonts w:ascii="Garamond" w:hAnsi="Garamond"/>
        </w:rPr>
        <w:t xml:space="preserve"> </w:t>
      </w:r>
      <w:r w:rsidR="00FB4C5B" w:rsidRPr="00724947">
        <w:rPr>
          <w:rFonts w:ascii="Garamond" w:hAnsi="Garamond"/>
        </w:rPr>
        <w:t xml:space="preserve">while holding that there was no Convention right to </w:t>
      </w:r>
      <w:r w:rsidR="0014771F" w:rsidRPr="00724947">
        <w:rPr>
          <w:rFonts w:ascii="Garamond" w:hAnsi="Garamond"/>
        </w:rPr>
        <w:t xml:space="preserve">the </w:t>
      </w:r>
      <w:r w:rsidR="00FB4C5B" w:rsidRPr="00724947">
        <w:rPr>
          <w:rFonts w:ascii="Garamond" w:hAnsi="Garamond"/>
        </w:rPr>
        <w:t xml:space="preserve">disclosure of the report of a Charity Commission inquiry into a charity set up by George Galloway MP, the Supreme Court held that the duties of the Charity Commission under the Charities Act </w:t>
      </w:r>
      <w:r w:rsidR="007F7BD2" w:rsidRPr="00724947">
        <w:rPr>
          <w:rFonts w:ascii="Garamond" w:hAnsi="Garamond"/>
          <w:lang w:val="en-AU"/>
        </w:rPr>
        <w:t xml:space="preserve">1993 </w:t>
      </w:r>
      <w:r w:rsidR="00FB4C5B" w:rsidRPr="00724947">
        <w:rPr>
          <w:rFonts w:ascii="Garamond" w:hAnsi="Garamond"/>
        </w:rPr>
        <w:t>had to be construed in the light of the common law principles of accountability and openness and that judicial review would enable the courts to decide whether the open justice principle required disclosure.</w:t>
      </w:r>
      <w:r w:rsidR="001D6419" w:rsidRPr="00724947">
        <w:rPr>
          <w:rFonts w:ascii="Garamond" w:hAnsi="Garamond"/>
        </w:rPr>
        <w:t xml:space="preserve"> There has been a noticeably increased reliance on common law arguments in cases since then.</w:t>
      </w:r>
      <w:r w:rsidR="00986C68" w:rsidRPr="00724947">
        <w:rPr>
          <w:rStyle w:val="FootnoteReference"/>
          <w:rFonts w:ascii="Garamond" w:hAnsi="Garamond"/>
        </w:rPr>
        <w:footnoteReference w:id="79"/>
      </w:r>
      <w:r w:rsidR="001D6419" w:rsidRPr="00724947">
        <w:rPr>
          <w:rFonts w:ascii="Garamond" w:hAnsi="Garamond"/>
        </w:rPr>
        <w:t xml:space="preserve"> </w:t>
      </w:r>
    </w:p>
    <w:p w14:paraId="7F103D3D" w14:textId="19CE4BF7" w:rsidR="00133809" w:rsidRPr="00771595" w:rsidRDefault="00FB4C5B" w:rsidP="00222A1D">
      <w:pPr>
        <w:spacing w:before="120" w:line="360" w:lineRule="auto"/>
        <w:jc w:val="both"/>
        <w:rPr>
          <w:rFonts w:ascii="Garamond" w:hAnsi="Garamond"/>
        </w:rPr>
      </w:pPr>
      <w:r w:rsidRPr="00724947">
        <w:rPr>
          <w:rFonts w:ascii="Garamond" w:hAnsi="Garamond"/>
        </w:rPr>
        <w:t>I mention this, not because I wish to be drawn into debate about the future of the Human Rights Act</w:t>
      </w:r>
      <w:r w:rsidR="00083313" w:rsidRPr="00724947">
        <w:rPr>
          <w:rFonts w:ascii="Garamond" w:hAnsi="Garamond"/>
          <w:lang w:val="en-AU"/>
        </w:rPr>
        <w:t xml:space="preserve"> 1998</w:t>
      </w:r>
      <w:r w:rsidRPr="00724947">
        <w:rPr>
          <w:rFonts w:ascii="Garamond" w:hAnsi="Garamond"/>
        </w:rPr>
        <w:t xml:space="preserve">, but because it is another example of </w:t>
      </w:r>
      <w:r w:rsidR="003B52CA" w:rsidRPr="00724947">
        <w:rPr>
          <w:rFonts w:ascii="Garamond" w:hAnsi="Garamond"/>
        </w:rPr>
        <w:t>the interesting ways in which</w:t>
      </w:r>
      <w:r w:rsidRPr="00724947">
        <w:rPr>
          <w:rFonts w:ascii="Garamond" w:hAnsi="Garamond"/>
        </w:rPr>
        <w:t xml:space="preserve"> the relationship between the courts and Parliament is developing. It has always been the role of a constitutional court to protect fundamental rights</w:t>
      </w:r>
      <w:r w:rsidR="0014771F" w:rsidRPr="00724947">
        <w:rPr>
          <w:rFonts w:ascii="Garamond" w:hAnsi="Garamond"/>
        </w:rPr>
        <w:t>,</w:t>
      </w:r>
      <w:r w:rsidRPr="00724947">
        <w:rPr>
          <w:rFonts w:ascii="Garamond" w:hAnsi="Garamond"/>
        </w:rPr>
        <w:t xml:space="preserve"> within th</w:t>
      </w:r>
      <w:r w:rsidR="00131B8D" w:rsidRPr="00724947">
        <w:rPr>
          <w:rFonts w:ascii="Garamond" w:hAnsi="Garamond"/>
        </w:rPr>
        <w:t>e framework of the law and the C</w:t>
      </w:r>
      <w:r w:rsidRPr="00724947">
        <w:rPr>
          <w:rFonts w:ascii="Garamond" w:hAnsi="Garamond"/>
        </w:rPr>
        <w:t>onstitution</w:t>
      </w:r>
      <w:r w:rsidR="0014771F" w:rsidRPr="00724947">
        <w:rPr>
          <w:rFonts w:ascii="Garamond" w:hAnsi="Garamond"/>
        </w:rPr>
        <w:t>,</w:t>
      </w:r>
      <w:r w:rsidR="003B52CA" w:rsidRPr="00724947">
        <w:rPr>
          <w:rFonts w:ascii="Garamond" w:hAnsi="Garamond"/>
        </w:rPr>
        <w:t xml:space="preserve"> and that is what </w:t>
      </w:r>
      <w:r w:rsidR="0014771F" w:rsidRPr="00724947">
        <w:rPr>
          <w:rFonts w:ascii="Garamond" w:hAnsi="Garamond"/>
        </w:rPr>
        <w:t>an independent judiciary will</w:t>
      </w:r>
      <w:r w:rsidR="003B52CA" w:rsidRPr="00724947">
        <w:rPr>
          <w:rFonts w:ascii="Garamond" w:hAnsi="Garamond"/>
        </w:rPr>
        <w:t xml:space="preserve"> continue to do to the best of </w:t>
      </w:r>
      <w:r w:rsidR="008E3FFF" w:rsidRPr="00724947">
        <w:rPr>
          <w:rFonts w:ascii="Garamond" w:hAnsi="Garamond"/>
        </w:rPr>
        <w:t>its</w:t>
      </w:r>
      <w:r w:rsidR="003B52CA" w:rsidRPr="00724947">
        <w:rPr>
          <w:rFonts w:ascii="Garamond" w:hAnsi="Garamond"/>
        </w:rPr>
        <w:t xml:space="preserve"> ability.</w:t>
      </w:r>
      <w:r w:rsidR="008E3FFF" w:rsidRPr="00724947">
        <w:rPr>
          <w:rFonts w:ascii="Garamond" w:hAnsi="Garamond"/>
        </w:rPr>
        <w:t xml:space="preserve"> The </w:t>
      </w:r>
      <w:r w:rsidR="00986C68" w:rsidRPr="00724947">
        <w:rPr>
          <w:rFonts w:ascii="Garamond" w:hAnsi="Garamond"/>
        </w:rPr>
        <w:t xml:space="preserve">rules of statutory interpretation play an important </w:t>
      </w:r>
      <w:r w:rsidR="00495372" w:rsidRPr="00724947">
        <w:rPr>
          <w:rFonts w:ascii="Garamond" w:hAnsi="Garamond"/>
        </w:rPr>
        <w:t>p</w:t>
      </w:r>
      <w:r w:rsidR="00986C68" w:rsidRPr="00724947">
        <w:rPr>
          <w:rFonts w:ascii="Garamond" w:hAnsi="Garamond"/>
        </w:rPr>
        <w:t xml:space="preserve">art in this. </w:t>
      </w:r>
      <w:r w:rsidR="00495372" w:rsidRPr="00724947">
        <w:rPr>
          <w:rFonts w:ascii="Garamond" w:hAnsi="Garamond"/>
        </w:rPr>
        <w:t xml:space="preserve">The rule of law is something more than the mere servant of Parliament. </w:t>
      </w:r>
      <w:r w:rsidR="00986C68" w:rsidRPr="00724947">
        <w:rPr>
          <w:rFonts w:ascii="Garamond" w:hAnsi="Garamond"/>
        </w:rPr>
        <w:t xml:space="preserve">The </w:t>
      </w:r>
      <w:r w:rsidR="008E3FFF" w:rsidRPr="00724947">
        <w:rPr>
          <w:rFonts w:ascii="Garamond" w:hAnsi="Garamond"/>
        </w:rPr>
        <w:t>quid pro quo is that we must stay true to our judicial oath, ‘to do right by all manner of people after the laws and usages of this realm, without fear or favour, affection or ill-will’.</w:t>
      </w:r>
      <w:r w:rsidR="00270456" w:rsidRPr="00724947">
        <w:rPr>
          <w:rStyle w:val="FootnoteReference"/>
          <w:rFonts w:ascii="Garamond" w:hAnsi="Garamond"/>
          <w:lang w:val="en-AU"/>
        </w:rPr>
        <w:footnoteReference w:id="80"/>
      </w:r>
      <w:r w:rsidR="008E3FFF" w:rsidRPr="00724947">
        <w:rPr>
          <w:rFonts w:ascii="Garamond" w:hAnsi="Garamond"/>
        </w:rPr>
        <w:t xml:space="preserve"> We are not making it up as we go along, but building upon the centuries of law and jurisprudence which make up our national narrative.</w:t>
      </w:r>
      <w:r w:rsidR="00A16743" w:rsidRPr="00724947">
        <w:rPr>
          <w:rStyle w:val="FootnoteReference"/>
          <w:rFonts w:ascii="Garamond" w:hAnsi="Garamond"/>
        </w:rPr>
        <w:footnoteReference w:id="81"/>
      </w:r>
      <w:r w:rsidR="00495372" w:rsidRPr="00724947">
        <w:rPr>
          <w:rFonts w:ascii="Garamond" w:hAnsi="Garamond"/>
        </w:rPr>
        <w:t xml:space="preserve"> </w:t>
      </w:r>
      <w:r w:rsidR="00EA5CE3" w:rsidRPr="00724947">
        <w:rPr>
          <w:rFonts w:ascii="Garamond" w:hAnsi="Garamond"/>
        </w:rPr>
        <w:t xml:space="preserve">It is a narrative which I believe is shared by all four nations which currently make </w:t>
      </w:r>
      <w:r w:rsidR="003F2629" w:rsidRPr="00724947">
        <w:rPr>
          <w:rFonts w:ascii="Garamond" w:hAnsi="Garamond"/>
        </w:rPr>
        <w:t>up the United Kingdom.</w:t>
      </w:r>
    </w:p>
    <w:sectPr w:rsidR="00133809" w:rsidRPr="00771595" w:rsidSect="00437C2D">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8ADF" w14:textId="77777777" w:rsidR="0008017F" w:rsidRDefault="0008017F" w:rsidP="000163AB">
      <w:r>
        <w:separator/>
      </w:r>
    </w:p>
  </w:endnote>
  <w:endnote w:type="continuationSeparator" w:id="0">
    <w:p w14:paraId="6A70A8DE" w14:textId="77777777" w:rsidR="0008017F" w:rsidRDefault="0008017F" w:rsidP="000163AB">
      <w:r>
        <w:continuationSeparator/>
      </w:r>
    </w:p>
  </w:endnote>
  <w:endnote w:type="continuationNotice" w:id="1">
    <w:p w14:paraId="6F0BDED0" w14:textId="77777777" w:rsidR="0008017F" w:rsidRDefault="00080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193542"/>
      <w:docPartObj>
        <w:docPartGallery w:val="Page Numbers (Bottom of Page)"/>
        <w:docPartUnique/>
      </w:docPartObj>
    </w:sdtPr>
    <w:sdtEndPr>
      <w:rPr>
        <w:noProof/>
      </w:rPr>
    </w:sdtEndPr>
    <w:sdtContent>
      <w:p w14:paraId="0B6EF36D" w14:textId="77777777" w:rsidR="006322F1" w:rsidRDefault="006322F1">
        <w:pPr>
          <w:pStyle w:val="Footer"/>
          <w:jc w:val="center"/>
        </w:pPr>
        <w:r>
          <w:fldChar w:fldCharType="begin"/>
        </w:r>
        <w:r>
          <w:instrText xml:space="preserve"> PAGE   \* MERGEFORMAT </w:instrText>
        </w:r>
        <w:r>
          <w:fldChar w:fldCharType="separate"/>
        </w:r>
        <w:r w:rsidR="00624609">
          <w:rPr>
            <w:noProof/>
          </w:rPr>
          <w:t>2</w:t>
        </w:r>
        <w:r>
          <w:rPr>
            <w:noProof/>
          </w:rPr>
          <w:fldChar w:fldCharType="end"/>
        </w:r>
      </w:p>
    </w:sdtContent>
  </w:sdt>
  <w:p w14:paraId="3A7D4270" w14:textId="77777777" w:rsidR="006322F1" w:rsidRDefault="00632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F1CFE" w14:textId="77777777" w:rsidR="0008017F" w:rsidRDefault="0008017F" w:rsidP="000163AB">
      <w:r>
        <w:separator/>
      </w:r>
    </w:p>
  </w:footnote>
  <w:footnote w:type="continuationSeparator" w:id="0">
    <w:p w14:paraId="19FEA278" w14:textId="77777777" w:rsidR="0008017F" w:rsidRDefault="0008017F" w:rsidP="000163AB">
      <w:r>
        <w:continuationSeparator/>
      </w:r>
    </w:p>
  </w:footnote>
  <w:footnote w:type="continuationNotice" w:id="1">
    <w:p w14:paraId="4C3F94F6" w14:textId="77777777" w:rsidR="0008017F" w:rsidRDefault="0008017F"/>
  </w:footnote>
  <w:footnote w:id="2">
    <w:p w14:paraId="1FADC649" w14:textId="33A27439" w:rsidR="006322F1" w:rsidRPr="00724947" w:rsidRDefault="006322F1" w:rsidP="002A583D">
      <w:pPr>
        <w:autoSpaceDE w:val="0"/>
        <w:autoSpaceDN w:val="0"/>
        <w:adjustRightInd w:val="0"/>
        <w:ind w:left="142" w:hanging="142"/>
        <w:jc w:val="both"/>
        <w:rPr>
          <w:rFonts w:eastAsiaTheme="minorHAnsi"/>
          <w:sz w:val="20"/>
          <w:szCs w:val="20"/>
          <w:lang w:eastAsia="en-US"/>
        </w:rPr>
      </w:pPr>
      <w:r w:rsidRPr="00724947">
        <w:rPr>
          <w:rStyle w:val="FootnoteReference"/>
          <w:sz w:val="20"/>
          <w:szCs w:val="20"/>
        </w:rPr>
        <w:t>*</w:t>
      </w:r>
      <w:r w:rsidRPr="00724947">
        <w:rPr>
          <w:sz w:val="20"/>
          <w:szCs w:val="20"/>
        </w:rPr>
        <w:t xml:space="preserve"> </w:t>
      </w:r>
      <w:r w:rsidRPr="00724947">
        <w:rPr>
          <w:rFonts w:eastAsiaTheme="minorHAnsi"/>
          <w:sz w:val="20"/>
          <w:szCs w:val="20"/>
          <w:lang w:eastAsia="en-US"/>
        </w:rPr>
        <w:t xml:space="preserve">This </w:t>
      </w:r>
      <w:r w:rsidRPr="00724947">
        <w:rPr>
          <w:sz w:val="20"/>
          <w:szCs w:val="20"/>
          <w:shd w:val="clear" w:color="auto" w:fill="FFFFFF"/>
        </w:rPr>
        <w:t>is a revised version of</w:t>
      </w:r>
      <w:r w:rsidRPr="00724947">
        <w:rPr>
          <w:rFonts w:eastAsiaTheme="minorHAnsi"/>
          <w:sz w:val="20"/>
          <w:szCs w:val="20"/>
          <w:lang w:eastAsia="en-US"/>
        </w:rPr>
        <w:t xml:space="preserve"> the Bryce Lecture 2015 delivered on 5 February 2015 at Somerville College, Oxford. I am very grateful to my judicial assistant, Penelope Gorman, for her help in preparing this lecture. The errors and opinions are all my own.</w:t>
      </w:r>
    </w:p>
  </w:footnote>
  <w:footnote w:id="3">
    <w:p w14:paraId="4A8FF7B9" w14:textId="567610B8" w:rsidR="00F121CF" w:rsidRPr="00724947" w:rsidRDefault="00F121CF" w:rsidP="002A583D">
      <w:pPr>
        <w:pStyle w:val="FootnoteText"/>
        <w:ind w:left="142" w:hanging="142"/>
        <w:jc w:val="both"/>
      </w:pPr>
      <w:r w:rsidRPr="00724947">
        <w:rPr>
          <w:rStyle w:val="FootnoteReference"/>
        </w:rPr>
        <w:footnoteRef/>
      </w:r>
      <w:r w:rsidRPr="00724947">
        <w:t xml:space="preserve"> </w:t>
      </w:r>
      <w:proofErr w:type="spellStart"/>
      <w:r w:rsidRPr="00724947">
        <w:t>Grundgesetz</w:t>
      </w:r>
      <w:proofErr w:type="spellEnd"/>
      <w:r w:rsidRPr="00724947">
        <w:t xml:space="preserve"> art 94 (Germany); Federal Constitutional Court Act 1951 (Germany) arts 6-7.</w:t>
      </w:r>
    </w:p>
  </w:footnote>
  <w:footnote w:id="4">
    <w:p w14:paraId="6D3941B8" w14:textId="77777777" w:rsidR="006322F1" w:rsidRPr="00724947" w:rsidRDefault="006322F1" w:rsidP="002A583D">
      <w:pPr>
        <w:pStyle w:val="FootnoteText"/>
        <w:ind w:left="142" w:hanging="142"/>
        <w:jc w:val="both"/>
      </w:pPr>
      <w:r w:rsidRPr="00724947">
        <w:rPr>
          <w:rStyle w:val="FootnoteReference"/>
        </w:rPr>
        <w:footnoteRef/>
      </w:r>
      <w:r w:rsidRPr="00724947">
        <w:t xml:space="preserve"> </w:t>
      </w:r>
      <w:r w:rsidRPr="00724947">
        <w:tab/>
      </w:r>
      <w:proofErr w:type="spellStart"/>
      <w:r w:rsidRPr="00724947">
        <w:rPr>
          <w:i/>
        </w:rPr>
        <w:t>Marbury</w:t>
      </w:r>
      <w:proofErr w:type="spellEnd"/>
      <w:r w:rsidRPr="00724947">
        <w:rPr>
          <w:i/>
        </w:rPr>
        <w:t xml:space="preserve"> v Madison</w:t>
      </w:r>
      <w:r w:rsidRPr="00724947">
        <w:t xml:space="preserve"> 5 US 137 (1803).</w:t>
      </w:r>
    </w:p>
  </w:footnote>
  <w:footnote w:id="5">
    <w:p w14:paraId="5634E0C5" w14:textId="4530B7C3" w:rsidR="006322F1" w:rsidRPr="00724947" w:rsidRDefault="006322F1" w:rsidP="002A583D">
      <w:pPr>
        <w:pStyle w:val="FootnoteText"/>
        <w:ind w:left="142" w:hanging="142"/>
        <w:jc w:val="both"/>
      </w:pPr>
      <w:r w:rsidRPr="00724947">
        <w:rPr>
          <w:rStyle w:val="FootnoteReference"/>
        </w:rPr>
        <w:footnoteRef/>
      </w:r>
      <w:r w:rsidRPr="00724947">
        <w:t xml:space="preserve"> </w:t>
      </w:r>
      <w:r w:rsidR="00F121CF" w:rsidRPr="00724947">
        <w:t>Supreme Court Act 1985 (Canada) s 53; Constitution of Ireland 1937 art 26.</w:t>
      </w:r>
    </w:p>
  </w:footnote>
  <w:footnote w:id="6">
    <w:p w14:paraId="2D556EB8" w14:textId="6E63BEF3" w:rsidR="00F121CF" w:rsidRPr="00724947" w:rsidRDefault="00F121CF" w:rsidP="002A583D">
      <w:pPr>
        <w:ind w:left="142" w:hanging="142"/>
        <w:jc w:val="both"/>
        <w:textAlignment w:val="baseline"/>
        <w:rPr>
          <w:sz w:val="20"/>
          <w:szCs w:val="20"/>
        </w:rPr>
      </w:pPr>
      <w:r w:rsidRPr="00724947">
        <w:rPr>
          <w:rStyle w:val="FootnoteReference"/>
          <w:sz w:val="20"/>
          <w:szCs w:val="20"/>
        </w:rPr>
        <w:footnoteRef/>
      </w:r>
      <w:r w:rsidRPr="00724947">
        <w:rPr>
          <w:sz w:val="20"/>
          <w:szCs w:val="20"/>
        </w:rPr>
        <w:t xml:space="preserve"> See e.g. the discussion in </w:t>
      </w:r>
      <w:r w:rsidRPr="00724947">
        <w:rPr>
          <w:rStyle w:val="maintitle"/>
          <w:sz w:val="20"/>
          <w:szCs w:val="20"/>
          <w:bdr w:val="none" w:sz="0" w:space="0" w:color="auto" w:frame="1"/>
        </w:rPr>
        <w:t>Diana Woodhouse, ‘The Constitutional and Political Implications of a United Kingdom Supreme Court’</w:t>
      </w:r>
      <w:r w:rsidRPr="00724947">
        <w:rPr>
          <w:sz w:val="20"/>
          <w:szCs w:val="20"/>
        </w:rPr>
        <w:t xml:space="preserve"> (2004) 24 </w:t>
      </w:r>
      <w:r w:rsidRPr="00724947">
        <w:rPr>
          <w:i/>
          <w:sz w:val="20"/>
          <w:szCs w:val="20"/>
        </w:rPr>
        <w:t>Legal Studies</w:t>
      </w:r>
      <w:r w:rsidRPr="00724947">
        <w:rPr>
          <w:sz w:val="20"/>
          <w:szCs w:val="20"/>
        </w:rPr>
        <w:t xml:space="preserve"> 134.</w:t>
      </w:r>
    </w:p>
  </w:footnote>
  <w:footnote w:id="7">
    <w:p w14:paraId="7734AA96" w14:textId="47826243" w:rsidR="00500E83" w:rsidRPr="00724947" w:rsidRDefault="00500E83" w:rsidP="002A583D">
      <w:pPr>
        <w:pStyle w:val="FootnoteText"/>
        <w:ind w:left="142" w:hanging="142"/>
        <w:jc w:val="both"/>
      </w:pPr>
      <w:r w:rsidRPr="00724947">
        <w:rPr>
          <w:rStyle w:val="FootnoteReference"/>
        </w:rPr>
        <w:footnoteRef/>
      </w:r>
      <w:r w:rsidRPr="00724947">
        <w:t xml:space="preserve"> See e.g. Albert Dicey, ‘Introduction to the Study of the Law Constitution’ (MacMillan and Co 1885).</w:t>
      </w:r>
    </w:p>
  </w:footnote>
  <w:footnote w:id="8">
    <w:p w14:paraId="4EC1E630" w14:textId="6907D363" w:rsidR="006322F1" w:rsidRPr="00724947" w:rsidRDefault="006322F1" w:rsidP="002A583D">
      <w:pPr>
        <w:pStyle w:val="FootnoteText"/>
        <w:ind w:left="142" w:hanging="142"/>
        <w:jc w:val="both"/>
      </w:pPr>
      <w:r w:rsidRPr="00724947">
        <w:rPr>
          <w:rStyle w:val="FootnoteReference"/>
        </w:rPr>
        <w:footnoteRef/>
      </w:r>
      <w:r w:rsidRPr="00724947">
        <w:t xml:space="preserve"> [2005] UKHL 56.</w:t>
      </w:r>
    </w:p>
  </w:footnote>
  <w:footnote w:id="9">
    <w:p w14:paraId="70685142" w14:textId="2F5C642F" w:rsidR="006322F1" w:rsidRPr="00724947" w:rsidRDefault="006322F1" w:rsidP="002A583D">
      <w:pPr>
        <w:pStyle w:val="FootnoteText"/>
        <w:ind w:left="142" w:hanging="142"/>
        <w:jc w:val="both"/>
        <w:rPr>
          <w:i/>
        </w:rPr>
      </w:pPr>
      <w:r w:rsidRPr="00724947">
        <w:rPr>
          <w:rStyle w:val="FootnoteReference"/>
        </w:rPr>
        <w:footnoteRef/>
      </w:r>
      <w:r w:rsidRPr="00724947">
        <w:t xml:space="preserve"> See </w:t>
      </w:r>
      <w:r w:rsidRPr="00724947">
        <w:rPr>
          <w:i/>
        </w:rPr>
        <w:t xml:space="preserve">R (Jackson) v Attorney General </w:t>
      </w:r>
      <w:r w:rsidRPr="00724947">
        <w:t xml:space="preserve">[2007] UKHL 52; see also </w:t>
      </w:r>
      <w:r w:rsidRPr="00724947">
        <w:rPr>
          <w:i/>
        </w:rPr>
        <w:t xml:space="preserve">Friend v United Kingdom </w:t>
      </w:r>
      <w:r w:rsidRPr="00724947">
        <w:t>(2010) 50 EHRR SE6.</w:t>
      </w:r>
      <w:r w:rsidRPr="00724947">
        <w:rPr>
          <w:i/>
        </w:rPr>
        <w:t xml:space="preserve"> </w:t>
      </w:r>
    </w:p>
  </w:footnote>
  <w:footnote w:id="10">
    <w:p w14:paraId="12FC6E92" w14:textId="2A20D1BB" w:rsidR="006322F1" w:rsidRPr="00724947" w:rsidRDefault="006322F1" w:rsidP="002A583D">
      <w:pPr>
        <w:pStyle w:val="FootnoteText"/>
        <w:ind w:left="142" w:hanging="142"/>
        <w:jc w:val="both"/>
      </w:pPr>
      <w:r w:rsidRPr="00724947">
        <w:rPr>
          <w:rStyle w:val="FootnoteReference"/>
        </w:rPr>
        <w:footnoteRef/>
      </w:r>
      <w:r w:rsidRPr="00724947">
        <w:t xml:space="preserve"> </w:t>
      </w:r>
      <w:proofErr w:type="spellStart"/>
      <w:r w:rsidR="00FC3F57" w:rsidRPr="00724947">
        <w:t>Cf</w:t>
      </w:r>
      <w:proofErr w:type="spellEnd"/>
      <w:r w:rsidR="00FC3F57" w:rsidRPr="00724947">
        <w:t xml:space="preserve"> Lord Woolf, </w:t>
      </w:r>
      <w:r w:rsidR="00500E83" w:rsidRPr="00724947">
        <w:rPr>
          <w:i/>
          <w:shd w:val="clear" w:color="auto" w:fill="FFFFFF"/>
        </w:rPr>
        <w:t>‘</w:t>
      </w:r>
      <w:r w:rsidR="00FC3F57" w:rsidRPr="00724947">
        <w:rPr>
          <w:i/>
          <w:shd w:val="clear" w:color="auto" w:fill="FFFFFF"/>
        </w:rPr>
        <w:t>The Rule of Law and a Change in Constitution'</w:t>
      </w:r>
      <w:r w:rsidR="00FC3F57" w:rsidRPr="00724947">
        <w:rPr>
          <w:shd w:val="clear" w:color="auto" w:fill="FFFFFF"/>
        </w:rPr>
        <w:t>. (Squire Centenary Lecture, University of Cambridge 3 March 2004)</w:t>
      </w:r>
    </w:p>
  </w:footnote>
  <w:footnote w:id="11">
    <w:p w14:paraId="0C884089" w14:textId="298FBF57" w:rsidR="00500E83" w:rsidRPr="00724947" w:rsidRDefault="00500E83" w:rsidP="002A583D">
      <w:pPr>
        <w:pStyle w:val="FootnoteText"/>
        <w:ind w:left="142" w:hanging="142"/>
        <w:jc w:val="both"/>
      </w:pPr>
      <w:r w:rsidRPr="00724947">
        <w:rPr>
          <w:rStyle w:val="FootnoteReference"/>
        </w:rPr>
        <w:footnoteRef/>
      </w:r>
      <w:r w:rsidRPr="00724947">
        <w:t xml:space="preserve"> </w:t>
      </w:r>
      <w:r w:rsidR="00D74271" w:rsidRPr="00724947">
        <w:t>War Crimes Act 1991; European Parliament Elections Act 1999; Sexual Offences (Amendment) Act 2000.</w:t>
      </w:r>
    </w:p>
  </w:footnote>
  <w:footnote w:id="12">
    <w:p w14:paraId="14A4513E" w14:textId="2DE31E84" w:rsidR="00D74271" w:rsidRPr="00724947" w:rsidRDefault="00D74271" w:rsidP="002A583D">
      <w:pPr>
        <w:pStyle w:val="FootnoteText"/>
        <w:ind w:left="142" w:hanging="142"/>
        <w:jc w:val="both"/>
      </w:pPr>
      <w:r w:rsidRPr="00724947">
        <w:rPr>
          <w:rStyle w:val="FootnoteReference"/>
        </w:rPr>
        <w:footnoteRef/>
      </w:r>
      <w:r w:rsidRPr="00724947">
        <w:t xml:space="preserve"> Parliament Act 1911 </w:t>
      </w:r>
      <w:proofErr w:type="spellStart"/>
      <w:r w:rsidRPr="00724947">
        <w:t>ss</w:t>
      </w:r>
      <w:proofErr w:type="spellEnd"/>
      <w:r w:rsidRPr="00724947">
        <w:t xml:space="preserve"> 1-2.</w:t>
      </w:r>
    </w:p>
  </w:footnote>
  <w:footnote w:id="13">
    <w:p w14:paraId="765602F0" w14:textId="677124A0" w:rsidR="006322F1" w:rsidRPr="00724947" w:rsidRDefault="006322F1" w:rsidP="002A583D">
      <w:pPr>
        <w:pStyle w:val="FootnoteText"/>
        <w:ind w:left="142" w:hanging="142"/>
        <w:jc w:val="both"/>
      </w:pPr>
      <w:r w:rsidRPr="00724947">
        <w:rPr>
          <w:rStyle w:val="FootnoteReference"/>
        </w:rPr>
        <w:footnoteRef/>
      </w:r>
      <w:r w:rsidRPr="00724947">
        <w:t xml:space="preserve"> </w:t>
      </w:r>
      <w:r w:rsidRPr="00724947">
        <w:rPr>
          <w:i/>
        </w:rPr>
        <w:t>Jackson</w:t>
      </w:r>
      <w:r w:rsidRPr="00724947">
        <w:t xml:space="preserve"> (n </w:t>
      </w:r>
      <w:r w:rsidR="00F531CB" w:rsidRPr="00724947">
        <w:t>7</w:t>
      </w:r>
      <w:r w:rsidRPr="00724947">
        <w:t>) [73] (Lord Steyn).</w:t>
      </w:r>
    </w:p>
  </w:footnote>
  <w:footnote w:id="14">
    <w:p w14:paraId="7FA8ADBA" w14:textId="280B195E" w:rsidR="006322F1" w:rsidRPr="00724947" w:rsidRDefault="006322F1" w:rsidP="002A583D">
      <w:pPr>
        <w:pStyle w:val="FootnoteText"/>
        <w:ind w:left="142" w:hanging="142"/>
        <w:jc w:val="both"/>
      </w:pPr>
      <w:r w:rsidRPr="00724947">
        <w:rPr>
          <w:rStyle w:val="FootnoteReference"/>
        </w:rPr>
        <w:footnoteRef/>
      </w:r>
      <w:r w:rsidRPr="00724947">
        <w:t xml:space="preserve"> </w:t>
      </w:r>
      <w:r w:rsidRPr="00724947">
        <w:rPr>
          <w:i/>
        </w:rPr>
        <w:t>R (Jackson) v HM Attorney General</w:t>
      </w:r>
      <w:r w:rsidRPr="00724947">
        <w:t xml:space="preserve"> [2005] EWCA </w:t>
      </w:r>
      <w:proofErr w:type="spellStart"/>
      <w:r w:rsidRPr="00724947">
        <w:t>Civ</w:t>
      </w:r>
      <w:proofErr w:type="spellEnd"/>
      <w:r w:rsidRPr="00724947">
        <w:t xml:space="preserve"> 126.</w:t>
      </w:r>
    </w:p>
  </w:footnote>
  <w:footnote w:id="15">
    <w:p w14:paraId="29072888" w14:textId="464985AC" w:rsidR="00500E83" w:rsidRPr="00724947" w:rsidRDefault="00500E83" w:rsidP="002A583D">
      <w:pPr>
        <w:pStyle w:val="FootnoteText"/>
        <w:ind w:left="142" w:hanging="142"/>
        <w:jc w:val="both"/>
      </w:pPr>
      <w:r w:rsidRPr="00724947">
        <w:rPr>
          <w:rStyle w:val="FootnoteReference"/>
        </w:rPr>
        <w:footnoteRef/>
      </w:r>
      <w:r w:rsidRPr="00724947">
        <w:t xml:space="preserve"> </w:t>
      </w:r>
      <w:r w:rsidR="00D74271" w:rsidRPr="00724947">
        <w:t>See Government of Ireland Act 1914; Welsh Church Act 1914.</w:t>
      </w:r>
    </w:p>
  </w:footnote>
  <w:footnote w:id="16">
    <w:p w14:paraId="4814F030" w14:textId="1A960BBE" w:rsidR="00500E83" w:rsidRPr="00724947" w:rsidRDefault="00500E83" w:rsidP="002A583D">
      <w:pPr>
        <w:pStyle w:val="FootnoteText"/>
        <w:ind w:left="142" w:hanging="142"/>
        <w:jc w:val="both"/>
      </w:pPr>
      <w:r w:rsidRPr="00724947">
        <w:rPr>
          <w:rStyle w:val="FootnoteReference"/>
        </w:rPr>
        <w:footnoteRef/>
      </w:r>
      <w:r w:rsidRPr="00724947">
        <w:t xml:space="preserve"> </w:t>
      </w:r>
      <w:r w:rsidR="00D74271" w:rsidRPr="00724947">
        <w:t>Parliament Act 1911 s 7.</w:t>
      </w:r>
    </w:p>
  </w:footnote>
  <w:footnote w:id="17">
    <w:p w14:paraId="051DC72A" w14:textId="65457871" w:rsidR="006322F1" w:rsidRPr="00724947" w:rsidRDefault="006322F1" w:rsidP="002A583D">
      <w:pPr>
        <w:pStyle w:val="FootnoteText"/>
        <w:ind w:left="142" w:hanging="142"/>
        <w:jc w:val="both"/>
      </w:pPr>
      <w:r w:rsidRPr="00724947">
        <w:rPr>
          <w:rStyle w:val="FootnoteReference"/>
        </w:rPr>
        <w:footnoteRef/>
      </w:r>
      <w:r w:rsidRPr="00724947">
        <w:t xml:space="preserve"> </w:t>
      </w:r>
      <w:r w:rsidRPr="00724947">
        <w:rPr>
          <w:i/>
          <w:lang w:val="en-AU"/>
        </w:rPr>
        <w:t xml:space="preserve">Jackson </w:t>
      </w:r>
      <w:r w:rsidR="00F531CB" w:rsidRPr="00724947">
        <w:rPr>
          <w:lang w:val="en-AU"/>
        </w:rPr>
        <w:t>(n 7</w:t>
      </w:r>
      <w:r w:rsidRPr="00724947">
        <w:rPr>
          <w:lang w:val="en-AU"/>
        </w:rPr>
        <w:t>)</w:t>
      </w:r>
      <w:r w:rsidRPr="00724947">
        <w:t xml:space="preserve"> [102</w:t>
      </w:r>
      <w:r w:rsidRPr="00724947">
        <w:rPr>
          <w:lang w:val="en-AU"/>
        </w:rPr>
        <w:t>] (Lord Steyn).</w:t>
      </w:r>
    </w:p>
  </w:footnote>
  <w:footnote w:id="18">
    <w:p w14:paraId="626E3CD8" w14:textId="68337604" w:rsidR="006322F1" w:rsidRPr="00724947" w:rsidRDefault="006322F1" w:rsidP="002A583D">
      <w:pPr>
        <w:pStyle w:val="FootnoteText"/>
        <w:ind w:left="142" w:hanging="142"/>
        <w:jc w:val="both"/>
        <w:rPr>
          <w:lang w:val="en-AU"/>
        </w:rPr>
      </w:pPr>
      <w:r w:rsidRPr="00724947">
        <w:rPr>
          <w:rStyle w:val="FootnoteReference"/>
        </w:rPr>
        <w:footnoteRef/>
      </w:r>
      <w:r w:rsidRPr="00724947">
        <w:t xml:space="preserve"> </w:t>
      </w:r>
      <w:r w:rsidRPr="00724947">
        <w:rPr>
          <w:lang w:val="en-AU"/>
        </w:rPr>
        <w:t>Ibid [159] (Lady Hale).</w:t>
      </w:r>
    </w:p>
  </w:footnote>
  <w:footnote w:id="19">
    <w:p w14:paraId="3A211937" w14:textId="46FFB701" w:rsidR="006322F1" w:rsidRPr="00724947" w:rsidRDefault="006322F1" w:rsidP="002A583D">
      <w:pPr>
        <w:pStyle w:val="FootnoteText"/>
        <w:ind w:left="142" w:hanging="142"/>
        <w:jc w:val="both"/>
        <w:rPr>
          <w:lang w:val="en-AU"/>
        </w:rPr>
      </w:pPr>
      <w:r w:rsidRPr="00724947">
        <w:rPr>
          <w:rStyle w:val="FootnoteReference"/>
        </w:rPr>
        <w:footnoteRef/>
      </w:r>
      <w:r w:rsidRPr="00724947">
        <w:t xml:space="preserve"> I</w:t>
      </w:r>
      <w:r w:rsidRPr="00724947">
        <w:rPr>
          <w:lang w:val="en-AU"/>
        </w:rPr>
        <w:t>bid [107] (Lord Hope).</w:t>
      </w:r>
    </w:p>
  </w:footnote>
  <w:footnote w:id="20">
    <w:p w14:paraId="22D1184B" w14:textId="28BED1F4" w:rsidR="006322F1" w:rsidRPr="00724947" w:rsidRDefault="006322F1" w:rsidP="002A583D">
      <w:pPr>
        <w:pStyle w:val="FootnoteText"/>
        <w:ind w:left="142" w:hanging="142"/>
        <w:jc w:val="both"/>
        <w:rPr>
          <w:lang w:val="en-AU"/>
        </w:rPr>
      </w:pPr>
      <w:r w:rsidRPr="00724947">
        <w:rPr>
          <w:rStyle w:val="FootnoteReference"/>
        </w:rPr>
        <w:footnoteRef/>
      </w:r>
      <w:r w:rsidRPr="00724947">
        <w:t xml:space="preserve"> </w:t>
      </w:r>
      <w:r w:rsidRPr="00724947">
        <w:rPr>
          <w:lang w:val="en-AU"/>
        </w:rPr>
        <w:t xml:space="preserve">Tom Bingham, </w:t>
      </w:r>
      <w:proofErr w:type="gramStart"/>
      <w:r w:rsidRPr="00724947">
        <w:rPr>
          <w:i/>
          <w:lang w:val="en-AU"/>
        </w:rPr>
        <w:t>The</w:t>
      </w:r>
      <w:proofErr w:type="gramEnd"/>
      <w:r w:rsidRPr="00724947">
        <w:rPr>
          <w:i/>
          <w:lang w:val="en-AU"/>
        </w:rPr>
        <w:t xml:space="preserve"> Rule of Law</w:t>
      </w:r>
      <w:r w:rsidRPr="00724947">
        <w:rPr>
          <w:lang w:val="en-AU"/>
        </w:rPr>
        <w:t xml:space="preserve"> (Penguin Books 2011) 167.</w:t>
      </w:r>
    </w:p>
  </w:footnote>
  <w:footnote w:id="21">
    <w:p w14:paraId="24E1D512" w14:textId="07773F34" w:rsidR="006322F1" w:rsidRPr="00724947" w:rsidRDefault="006322F1" w:rsidP="002A583D">
      <w:pPr>
        <w:pStyle w:val="FootnoteText"/>
        <w:ind w:left="142" w:hanging="142"/>
        <w:jc w:val="both"/>
      </w:pPr>
      <w:r w:rsidRPr="00724947">
        <w:rPr>
          <w:rStyle w:val="FootnoteReference"/>
        </w:rPr>
        <w:footnoteRef/>
      </w:r>
      <w:r w:rsidRPr="00724947">
        <w:t xml:space="preserve"> See e.g. </w:t>
      </w:r>
      <w:proofErr w:type="spellStart"/>
      <w:r w:rsidRPr="00724947">
        <w:rPr>
          <w:bCs/>
          <w:i/>
          <w:iCs/>
          <w:shd w:val="clear" w:color="auto" w:fill="FFFFFF"/>
        </w:rPr>
        <w:t>MacCormick</w:t>
      </w:r>
      <w:proofErr w:type="spellEnd"/>
      <w:r w:rsidRPr="00724947">
        <w:rPr>
          <w:bCs/>
          <w:i/>
          <w:iCs/>
          <w:shd w:val="clear" w:color="auto" w:fill="FFFFFF"/>
        </w:rPr>
        <w:t xml:space="preserve"> v Lord Advocate</w:t>
      </w:r>
      <w:r w:rsidRPr="00724947">
        <w:rPr>
          <w:rStyle w:val="apple-converted-space"/>
          <w:shd w:val="clear" w:color="auto" w:fill="FFFFFF"/>
        </w:rPr>
        <w:t> </w:t>
      </w:r>
      <w:r w:rsidRPr="00724947">
        <w:rPr>
          <w:shd w:val="clear" w:color="auto" w:fill="FFFFFF"/>
        </w:rPr>
        <w:t xml:space="preserve">1953 SC 396; </w:t>
      </w:r>
      <w:r w:rsidRPr="00724947">
        <w:rPr>
          <w:i/>
          <w:iCs/>
          <w:shd w:val="clear" w:color="auto" w:fill="FFFFFF"/>
        </w:rPr>
        <w:t>Gibson v Lord Advocate</w:t>
      </w:r>
      <w:r w:rsidRPr="00724947">
        <w:rPr>
          <w:rStyle w:val="apple-converted-space"/>
          <w:shd w:val="clear" w:color="auto" w:fill="FFFFFF"/>
        </w:rPr>
        <w:t> </w:t>
      </w:r>
      <w:r w:rsidRPr="00724947">
        <w:rPr>
          <w:shd w:val="clear" w:color="auto" w:fill="FFFFFF"/>
        </w:rPr>
        <w:t>1975 SC 136.</w:t>
      </w:r>
    </w:p>
  </w:footnote>
  <w:footnote w:id="22">
    <w:p w14:paraId="0C872E45" w14:textId="3B8939F5" w:rsidR="006322F1" w:rsidRPr="00724947" w:rsidRDefault="006322F1" w:rsidP="002A583D">
      <w:pPr>
        <w:pStyle w:val="FootnoteText"/>
        <w:ind w:left="142" w:hanging="142"/>
        <w:jc w:val="both"/>
        <w:rPr>
          <w:lang w:val="en-AU"/>
        </w:rPr>
      </w:pPr>
      <w:r w:rsidRPr="00724947">
        <w:rPr>
          <w:rStyle w:val="FootnoteReference"/>
        </w:rPr>
        <w:footnoteRef/>
      </w:r>
      <w:r w:rsidRPr="00724947">
        <w:t xml:space="preserve"> </w:t>
      </w:r>
      <w:proofErr w:type="spellStart"/>
      <w:r w:rsidRPr="00724947">
        <w:rPr>
          <w:lang w:val="en-AU"/>
        </w:rPr>
        <w:t>Cf</w:t>
      </w:r>
      <w:proofErr w:type="spellEnd"/>
      <w:r w:rsidRPr="00724947">
        <w:rPr>
          <w:lang w:val="en-AU"/>
        </w:rPr>
        <w:t xml:space="preserve"> </w:t>
      </w:r>
      <w:r w:rsidRPr="00724947">
        <w:rPr>
          <w:i/>
          <w:lang w:val="en-AU"/>
        </w:rPr>
        <w:t xml:space="preserve">Gallagher v Lynn </w:t>
      </w:r>
      <w:r w:rsidRPr="00724947">
        <w:rPr>
          <w:lang w:val="en-AU"/>
        </w:rPr>
        <w:t>[1937] AC 863.</w:t>
      </w:r>
    </w:p>
  </w:footnote>
  <w:footnote w:id="23">
    <w:p w14:paraId="21EA52CA" w14:textId="28A593A6" w:rsidR="00AB074E" w:rsidRPr="00724947" w:rsidRDefault="00AB074E" w:rsidP="002A583D">
      <w:pPr>
        <w:pStyle w:val="FootnoteText"/>
        <w:ind w:left="142" w:hanging="142"/>
        <w:jc w:val="both"/>
      </w:pPr>
      <w:r w:rsidRPr="00724947">
        <w:rPr>
          <w:rStyle w:val="FootnoteReference"/>
        </w:rPr>
        <w:footnoteRef/>
      </w:r>
      <w:r w:rsidRPr="00724947">
        <w:t xml:space="preserve"> Constitutional Reform Act 2005 s40, </w:t>
      </w:r>
      <w:proofErr w:type="spellStart"/>
      <w:r w:rsidRPr="00724947">
        <w:t>sch</w:t>
      </w:r>
      <w:proofErr w:type="spellEnd"/>
      <w:r w:rsidRPr="00724947">
        <w:t xml:space="preserve"> 9.</w:t>
      </w:r>
    </w:p>
  </w:footnote>
  <w:footnote w:id="24">
    <w:p w14:paraId="44EB0341" w14:textId="0B2D48B0" w:rsidR="006322F1" w:rsidRPr="00724947" w:rsidRDefault="006322F1" w:rsidP="002A583D">
      <w:pPr>
        <w:pStyle w:val="FootnoteText"/>
        <w:ind w:left="142" w:hanging="142"/>
        <w:jc w:val="both"/>
      </w:pPr>
      <w:r w:rsidRPr="00724947">
        <w:rPr>
          <w:rStyle w:val="FootnoteReference"/>
        </w:rPr>
        <w:footnoteRef/>
      </w:r>
      <w:r w:rsidRPr="00724947">
        <w:t xml:space="preserve"> </w:t>
      </w:r>
      <w:r w:rsidR="00AB074E" w:rsidRPr="00724947">
        <w:t>Scotland Act 1998 s 29(2</w:t>
      </w:r>
      <w:proofErr w:type="gramStart"/>
      <w:r w:rsidR="00AB074E" w:rsidRPr="00724947">
        <w:t>)d</w:t>
      </w:r>
      <w:proofErr w:type="gramEnd"/>
      <w:r w:rsidR="00AB074E" w:rsidRPr="00724947">
        <w:t>; Government of Wales Act 2006 s 108(6)c; Northern Ireland Act 1998 s 6(2)c.</w:t>
      </w:r>
    </w:p>
  </w:footnote>
  <w:footnote w:id="25">
    <w:p w14:paraId="1D40E30E" w14:textId="6DA61286" w:rsidR="006322F1" w:rsidRPr="00724947" w:rsidRDefault="006322F1" w:rsidP="002A583D">
      <w:pPr>
        <w:pStyle w:val="FootnoteText"/>
        <w:ind w:left="142" w:hanging="142"/>
        <w:jc w:val="both"/>
      </w:pPr>
      <w:r w:rsidRPr="00724947">
        <w:rPr>
          <w:rStyle w:val="FootnoteReference"/>
        </w:rPr>
        <w:footnoteRef/>
      </w:r>
      <w:r w:rsidRPr="00724947">
        <w:t xml:space="preserve"> Criminal Procedure (Scotland) Act 1995, </w:t>
      </w:r>
      <w:proofErr w:type="spellStart"/>
      <w:r w:rsidRPr="00724947">
        <w:t>ss</w:t>
      </w:r>
      <w:proofErr w:type="spellEnd"/>
      <w:r w:rsidRPr="00724947">
        <w:t xml:space="preserve"> </w:t>
      </w:r>
      <w:proofErr w:type="gramStart"/>
      <w:r w:rsidRPr="00724947">
        <w:t>288AA(</w:t>
      </w:r>
      <w:proofErr w:type="gramEnd"/>
      <w:r w:rsidRPr="00724947">
        <w:t>1), 288ZA(2), as inserted by the Scotland Act 2012.</w:t>
      </w:r>
    </w:p>
  </w:footnote>
  <w:footnote w:id="26">
    <w:p w14:paraId="7FFE183C" w14:textId="0DC475B9" w:rsidR="006322F1" w:rsidRPr="00724947" w:rsidRDefault="006322F1" w:rsidP="002A583D">
      <w:pPr>
        <w:pStyle w:val="FootnoteText"/>
        <w:ind w:left="142" w:hanging="142"/>
        <w:jc w:val="both"/>
      </w:pPr>
      <w:r w:rsidRPr="00724947">
        <w:rPr>
          <w:rStyle w:val="FootnoteReference"/>
        </w:rPr>
        <w:footnoteRef/>
      </w:r>
      <w:r w:rsidRPr="00724947">
        <w:t xml:space="preserve"> See in particular, </w:t>
      </w:r>
      <w:proofErr w:type="spellStart"/>
      <w:r w:rsidRPr="00724947">
        <w:rPr>
          <w:i/>
        </w:rPr>
        <w:t>Cadder</w:t>
      </w:r>
      <w:proofErr w:type="spellEnd"/>
      <w:r w:rsidRPr="00724947">
        <w:rPr>
          <w:i/>
        </w:rPr>
        <w:t xml:space="preserve"> v HM Advocate </w:t>
      </w:r>
      <w:r w:rsidRPr="00724947">
        <w:t xml:space="preserve">[2010] UKSC 43; </w:t>
      </w:r>
      <w:r w:rsidRPr="00724947">
        <w:rPr>
          <w:i/>
        </w:rPr>
        <w:t xml:space="preserve">Fraser v HM Advocate </w:t>
      </w:r>
      <w:r w:rsidRPr="00724947">
        <w:t>[2011] UKSC 24.</w:t>
      </w:r>
    </w:p>
  </w:footnote>
  <w:footnote w:id="27">
    <w:p w14:paraId="64328D8D" w14:textId="1103E470" w:rsidR="006322F1" w:rsidRPr="00724947" w:rsidRDefault="006322F1" w:rsidP="002A583D">
      <w:pPr>
        <w:pStyle w:val="FootnoteText"/>
        <w:ind w:left="142" w:hanging="142"/>
        <w:jc w:val="both"/>
      </w:pPr>
      <w:r w:rsidRPr="00724947">
        <w:rPr>
          <w:rStyle w:val="FootnoteReference"/>
        </w:rPr>
        <w:footnoteRef/>
      </w:r>
      <w:r w:rsidRPr="00724947">
        <w:t xml:space="preserve"> </w:t>
      </w:r>
      <w:r w:rsidRPr="00724947">
        <w:rPr>
          <w:i/>
        </w:rPr>
        <w:t xml:space="preserve">AXA General Insurance Ltd v HM Advocate </w:t>
      </w:r>
      <w:r w:rsidRPr="00724947">
        <w:t>[2011] UKSC 46.</w:t>
      </w:r>
    </w:p>
  </w:footnote>
  <w:footnote w:id="28">
    <w:p w14:paraId="1D7871B8" w14:textId="2F02F0DE" w:rsidR="006322F1" w:rsidRPr="00724947" w:rsidRDefault="006322F1" w:rsidP="002A583D">
      <w:pPr>
        <w:pStyle w:val="FootnoteText"/>
        <w:ind w:left="142" w:hanging="142"/>
        <w:jc w:val="both"/>
      </w:pPr>
      <w:r w:rsidRPr="00724947">
        <w:rPr>
          <w:rStyle w:val="FootnoteReference"/>
        </w:rPr>
        <w:footnoteRef/>
      </w:r>
      <w:r w:rsidRPr="00724947">
        <w:rPr>
          <w:i/>
        </w:rPr>
        <w:t xml:space="preserve"> Rothwell v Chemical and Insulating Co Ltd </w:t>
      </w:r>
      <w:r w:rsidRPr="00724947">
        <w:t>[2007] UKHL 39.</w:t>
      </w:r>
    </w:p>
  </w:footnote>
  <w:footnote w:id="29">
    <w:p w14:paraId="6FD9BB82" w14:textId="7483C117" w:rsidR="006322F1" w:rsidRPr="00724947" w:rsidRDefault="006322F1" w:rsidP="002A583D">
      <w:pPr>
        <w:pStyle w:val="FootnoteText"/>
        <w:ind w:left="142" w:hanging="142"/>
        <w:jc w:val="both"/>
      </w:pPr>
      <w:r w:rsidRPr="00724947">
        <w:rPr>
          <w:rStyle w:val="FootnoteReference"/>
        </w:rPr>
        <w:footnoteRef/>
      </w:r>
      <w:r w:rsidRPr="00724947">
        <w:t xml:space="preserve"> </w:t>
      </w:r>
      <w:r w:rsidR="00151E92" w:rsidRPr="00724947">
        <w:t>Scotland Act 1998 s 29(1).</w:t>
      </w:r>
    </w:p>
  </w:footnote>
  <w:footnote w:id="30">
    <w:p w14:paraId="5BDAF064" w14:textId="7ABE8841" w:rsidR="006322F1" w:rsidRPr="00724947" w:rsidRDefault="006322F1" w:rsidP="002A583D">
      <w:pPr>
        <w:pStyle w:val="FootnoteText"/>
        <w:ind w:left="142" w:hanging="142"/>
        <w:jc w:val="both"/>
      </w:pPr>
      <w:r w:rsidRPr="00724947">
        <w:rPr>
          <w:rStyle w:val="FootnoteReference"/>
        </w:rPr>
        <w:footnoteRef/>
      </w:r>
      <w:r w:rsidRPr="00724947">
        <w:t xml:space="preserve"> </w:t>
      </w:r>
      <w:r w:rsidR="00827289" w:rsidRPr="00724947">
        <w:t>Government of Wales Act 2006 s 108(2), (3).</w:t>
      </w:r>
    </w:p>
  </w:footnote>
  <w:footnote w:id="31">
    <w:p w14:paraId="2C0747ED" w14:textId="13F1ABAE" w:rsidR="006322F1" w:rsidRPr="00724947" w:rsidRDefault="006322F1" w:rsidP="002A583D">
      <w:pPr>
        <w:pStyle w:val="FootnoteText"/>
        <w:ind w:left="142" w:hanging="142"/>
        <w:jc w:val="both"/>
      </w:pPr>
      <w:r w:rsidRPr="00724947">
        <w:rPr>
          <w:rStyle w:val="FootnoteReference"/>
        </w:rPr>
        <w:footnoteRef/>
      </w:r>
      <w:r w:rsidRPr="00724947">
        <w:t xml:space="preserve"> </w:t>
      </w:r>
      <w:r w:rsidR="00827289" w:rsidRPr="00724947">
        <w:t>Northern Ireland Act 1998 s 6(1).</w:t>
      </w:r>
    </w:p>
  </w:footnote>
  <w:footnote w:id="32">
    <w:p w14:paraId="470F02C5" w14:textId="77777777" w:rsidR="006322F1" w:rsidRPr="00724947" w:rsidRDefault="006322F1" w:rsidP="002A583D">
      <w:pPr>
        <w:pStyle w:val="FootnoteText"/>
        <w:ind w:left="142" w:hanging="142"/>
        <w:jc w:val="both"/>
      </w:pPr>
      <w:r w:rsidRPr="00724947">
        <w:rPr>
          <w:rStyle w:val="FootnoteReference"/>
        </w:rPr>
        <w:footnoteRef/>
      </w:r>
      <w:r w:rsidRPr="00724947">
        <w:t xml:space="preserve"> </w:t>
      </w:r>
      <w:r w:rsidRPr="00724947">
        <w:rPr>
          <w:i/>
        </w:rPr>
        <w:t xml:space="preserve">Russell v The Queen </w:t>
      </w:r>
      <w:r w:rsidRPr="00724947">
        <w:t xml:space="preserve">(1882) 7 App </w:t>
      </w:r>
      <w:proofErr w:type="spellStart"/>
      <w:r w:rsidRPr="00724947">
        <w:t>Cas</w:t>
      </w:r>
      <w:proofErr w:type="spellEnd"/>
      <w:r w:rsidRPr="00724947">
        <w:t xml:space="preserve"> 829; </w:t>
      </w:r>
      <w:r w:rsidRPr="00724947">
        <w:rPr>
          <w:i/>
        </w:rPr>
        <w:t xml:space="preserve">Union Colliery Co of British Columbia Ltd v </w:t>
      </w:r>
      <w:proofErr w:type="spellStart"/>
      <w:r w:rsidRPr="00724947">
        <w:rPr>
          <w:i/>
        </w:rPr>
        <w:t>Bryden</w:t>
      </w:r>
      <w:proofErr w:type="spellEnd"/>
      <w:r w:rsidRPr="00724947">
        <w:rPr>
          <w:i/>
        </w:rPr>
        <w:t xml:space="preserve"> </w:t>
      </w:r>
      <w:r w:rsidRPr="00724947">
        <w:t xml:space="preserve">[1899] AC 580; </w:t>
      </w:r>
      <w:proofErr w:type="spellStart"/>
      <w:r w:rsidRPr="00724947">
        <w:rPr>
          <w:i/>
          <w:lang w:val="en-AU"/>
        </w:rPr>
        <w:t>Prafulla</w:t>
      </w:r>
      <w:proofErr w:type="spellEnd"/>
      <w:r w:rsidRPr="00724947">
        <w:rPr>
          <w:i/>
        </w:rPr>
        <w:t xml:space="preserve"> Kumar </w:t>
      </w:r>
      <w:proofErr w:type="spellStart"/>
      <w:r w:rsidRPr="00724947">
        <w:rPr>
          <w:i/>
        </w:rPr>
        <w:t>Mukherji</w:t>
      </w:r>
      <w:proofErr w:type="spellEnd"/>
      <w:r w:rsidRPr="00724947">
        <w:rPr>
          <w:i/>
        </w:rPr>
        <w:t xml:space="preserve"> v Bank of Commerce Ltd, Khulna </w:t>
      </w:r>
      <w:r w:rsidRPr="00724947">
        <w:t>(1947) LR 74 Indian Appeals 23.</w:t>
      </w:r>
    </w:p>
  </w:footnote>
  <w:footnote w:id="33">
    <w:p w14:paraId="513BE10A" w14:textId="52B2BA96" w:rsidR="006322F1" w:rsidRPr="00724947" w:rsidRDefault="006322F1" w:rsidP="002A583D">
      <w:pPr>
        <w:pStyle w:val="FootnoteText"/>
        <w:ind w:left="142" w:hanging="142"/>
        <w:jc w:val="both"/>
      </w:pPr>
      <w:r w:rsidRPr="00724947">
        <w:rPr>
          <w:rStyle w:val="FootnoteReference"/>
        </w:rPr>
        <w:footnoteRef/>
      </w:r>
      <w:r w:rsidRPr="00724947">
        <w:t xml:space="preserve"> [2010] UKSC 10.</w:t>
      </w:r>
    </w:p>
  </w:footnote>
  <w:footnote w:id="34">
    <w:p w14:paraId="224A27E9" w14:textId="77777777" w:rsidR="006322F1" w:rsidRPr="00724947" w:rsidRDefault="006322F1" w:rsidP="002A583D">
      <w:pPr>
        <w:pStyle w:val="FootnoteText"/>
        <w:ind w:left="142" w:hanging="142"/>
        <w:jc w:val="both"/>
      </w:pPr>
      <w:r w:rsidRPr="00724947">
        <w:rPr>
          <w:rStyle w:val="FootnoteReference"/>
        </w:rPr>
        <w:footnoteRef/>
      </w:r>
      <w:r w:rsidRPr="00724947">
        <w:t xml:space="preserve"> Road Traffic Act 1988 s 103(1</w:t>
      </w:r>
      <w:proofErr w:type="gramStart"/>
      <w:r w:rsidRPr="00724947">
        <w:t>)(</w:t>
      </w:r>
      <w:proofErr w:type="gramEnd"/>
      <w:r w:rsidRPr="00724947">
        <w:t xml:space="preserve">b); Road Traffic Offenders Act 1988 s33, </w:t>
      </w:r>
      <w:proofErr w:type="spellStart"/>
      <w:r w:rsidRPr="00724947">
        <w:t>sch</w:t>
      </w:r>
      <w:proofErr w:type="spellEnd"/>
      <w:r w:rsidRPr="00724947">
        <w:t xml:space="preserve"> 2.</w:t>
      </w:r>
    </w:p>
  </w:footnote>
  <w:footnote w:id="35">
    <w:p w14:paraId="6B8F5E6E" w14:textId="7B497C64" w:rsidR="006322F1" w:rsidRPr="00724947" w:rsidRDefault="006322F1" w:rsidP="002A583D">
      <w:pPr>
        <w:pStyle w:val="FootnoteText"/>
        <w:ind w:left="142" w:hanging="142"/>
        <w:jc w:val="both"/>
        <w:rPr>
          <w:lang w:val="en-US"/>
        </w:rPr>
      </w:pPr>
      <w:r w:rsidRPr="00724947">
        <w:rPr>
          <w:rStyle w:val="FootnoteReference"/>
        </w:rPr>
        <w:footnoteRef/>
      </w:r>
      <w:r w:rsidRPr="00724947">
        <w:t xml:space="preserve"> </w:t>
      </w:r>
      <w:r w:rsidRPr="00724947">
        <w:rPr>
          <w:lang w:val="en-US"/>
        </w:rPr>
        <w:t xml:space="preserve">Scotland Act 1998, </w:t>
      </w:r>
      <w:r w:rsidRPr="00724947">
        <w:t>s 29(3).</w:t>
      </w:r>
    </w:p>
  </w:footnote>
  <w:footnote w:id="36">
    <w:p w14:paraId="762693B3" w14:textId="1FAB4967" w:rsidR="006322F1" w:rsidRPr="00724947" w:rsidRDefault="006322F1" w:rsidP="002A583D">
      <w:pPr>
        <w:pStyle w:val="FootnoteText"/>
        <w:ind w:left="142" w:hanging="142"/>
        <w:jc w:val="both"/>
        <w:rPr>
          <w:lang w:val="en-US"/>
        </w:rPr>
      </w:pPr>
      <w:r w:rsidRPr="00724947">
        <w:rPr>
          <w:rStyle w:val="FootnoteReference"/>
        </w:rPr>
        <w:footnoteRef/>
      </w:r>
      <w:r w:rsidRPr="00724947">
        <w:t xml:space="preserve"> Ibid s 29(2</w:t>
      </w:r>
      <w:proofErr w:type="gramStart"/>
      <w:r w:rsidRPr="00724947">
        <w:t>)(</w:t>
      </w:r>
      <w:proofErr w:type="gramEnd"/>
      <w:r w:rsidRPr="00724947">
        <w:rPr>
          <w:lang w:val="en-AU"/>
        </w:rPr>
        <w:t xml:space="preserve">c), </w:t>
      </w:r>
      <w:proofErr w:type="spellStart"/>
      <w:r w:rsidRPr="00724947">
        <w:rPr>
          <w:lang w:val="en-AU"/>
        </w:rPr>
        <w:t>sch</w:t>
      </w:r>
      <w:proofErr w:type="spellEnd"/>
      <w:r w:rsidRPr="00724947">
        <w:t xml:space="preserve"> 4, paras 2(1</w:t>
      </w:r>
      <w:r w:rsidRPr="00724947">
        <w:rPr>
          <w:lang w:val="en-AU"/>
        </w:rPr>
        <w:t>), (3).</w:t>
      </w:r>
    </w:p>
  </w:footnote>
  <w:footnote w:id="37">
    <w:p w14:paraId="1556E4C7" w14:textId="4E865EE8" w:rsidR="006322F1" w:rsidRPr="00724947" w:rsidRDefault="006322F1" w:rsidP="002A583D">
      <w:pPr>
        <w:pStyle w:val="FootnoteText"/>
        <w:ind w:left="142" w:hanging="142"/>
        <w:jc w:val="both"/>
      </w:pPr>
      <w:r w:rsidRPr="00724947">
        <w:rPr>
          <w:rStyle w:val="FootnoteReference"/>
        </w:rPr>
        <w:footnoteRef/>
      </w:r>
      <w:r w:rsidRPr="00724947">
        <w:t xml:space="preserve"> </w:t>
      </w:r>
      <w:r w:rsidRPr="00724947">
        <w:rPr>
          <w:i/>
        </w:rPr>
        <w:t>Martin</w:t>
      </w:r>
      <w:r w:rsidR="00F531CB" w:rsidRPr="00724947">
        <w:t xml:space="preserve"> (n 31</w:t>
      </w:r>
      <w:r w:rsidRPr="00724947">
        <w:t>) [37] (Lord Hope).</w:t>
      </w:r>
    </w:p>
  </w:footnote>
  <w:footnote w:id="38">
    <w:p w14:paraId="233B94BA" w14:textId="77777777" w:rsidR="006322F1" w:rsidRPr="00724947" w:rsidRDefault="006322F1" w:rsidP="002A583D">
      <w:pPr>
        <w:pStyle w:val="FootnoteText"/>
        <w:ind w:left="142" w:hanging="142"/>
        <w:jc w:val="both"/>
      </w:pPr>
      <w:r w:rsidRPr="00724947">
        <w:rPr>
          <w:rStyle w:val="FootnoteReference"/>
        </w:rPr>
        <w:footnoteRef/>
      </w:r>
      <w:r w:rsidRPr="00724947">
        <w:t xml:space="preserve"> Ibid [141] (Lord Rodger).</w:t>
      </w:r>
    </w:p>
  </w:footnote>
  <w:footnote w:id="39">
    <w:p w14:paraId="7F498886" w14:textId="77777777" w:rsidR="006322F1" w:rsidRPr="00724947" w:rsidRDefault="006322F1" w:rsidP="002A583D">
      <w:pPr>
        <w:pStyle w:val="FootnoteText"/>
        <w:ind w:left="142" w:hanging="142"/>
        <w:jc w:val="both"/>
      </w:pPr>
      <w:r w:rsidRPr="00724947">
        <w:rPr>
          <w:rStyle w:val="FootnoteReference"/>
        </w:rPr>
        <w:footnoteRef/>
      </w:r>
      <w:r w:rsidRPr="00724947">
        <w:t xml:space="preserve"> Government of Wales Act 2006 s 112.</w:t>
      </w:r>
    </w:p>
  </w:footnote>
  <w:footnote w:id="40">
    <w:p w14:paraId="4DDDB91C" w14:textId="6FDE3AB0" w:rsidR="006322F1" w:rsidRPr="00724947" w:rsidRDefault="006322F1" w:rsidP="002A583D">
      <w:pPr>
        <w:pStyle w:val="FootnoteText"/>
        <w:ind w:left="142" w:hanging="142"/>
        <w:jc w:val="both"/>
        <w:rPr>
          <w:i/>
        </w:rPr>
      </w:pPr>
      <w:r w:rsidRPr="00724947">
        <w:rPr>
          <w:rStyle w:val="FootnoteReference"/>
        </w:rPr>
        <w:footnoteRef/>
      </w:r>
      <w:r w:rsidRPr="00724947">
        <w:t xml:space="preserve"> </w:t>
      </w:r>
      <w:r w:rsidRPr="00724947">
        <w:rPr>
          <w:i/>
          <w:lang w:val="en-AU"/>
        </w:rPr>
        <w:t xml:space="preserve">Local Government Byelaws (Wales Bill – Reference by the Attorney-General for England and Wales </w:t>
      </w:r>
      <w:r w:rsidRPr="00724947">
        <w:rPr>
          <w:lang w:val="en-AU"/>
        </w:rPr>
        <w:t>[2012] UKSC 53.</w:t>
      </w:r>
    </w:p>
  </w:footnote>
  <w:footnote w:id="41">
    <w:p w14:paraId="4E135252" w14:textId="3E95D027" w:rsidR="006322F1" w:rsidRPr="00724947" w:rsidRDefault="006322F1" w:rsidP="002A583D">
      <w:pPr>
        <w:pStyle w:val="FootnoteText"/>
        <w:ind w:left="142" w:hanging="142"/>
        <w:jc w:val="both"/>
        <w:rPr>
          <w:lang w:val="en-AU"/>
        </w:rPr>
      </w:pPr>
      <w:r w:rsidRPr="00724947">
        <w:rPr>
          <w:rStyle w:val="FootnoteReference"/>
        </w:rPr>
        <w:footnoteRef/>
      </w:r>
      <w:r w:rsidRPr="00724947">
        <w:t xml:space="preserve"> </w:t>
      </w:r>
      <w:r w:rsidRPr="00724947">
        <w:rPr>
          <w:i/>
          <w:lang w:val="en-AU"/>
        </w:rPr>
        <w:t xml:space="preserve">Agricultural Sector (Wales) Bill – Reference by the Attorney General for England and Wales </w:t>
      </w:r>
      <w:r w:rsidRPr="00724947">
        <w:rPr>
          <w:lang w:val="en-AU"/>
        </w:rPr>
        <w:t>[2014] UKSC 43.</w:t>
      </w:r>
    </w:p>
  </w:footnote>
  <w:footnote w:id="42">
    <w:p w14:paraId="43980C68" w14:textId="28ACBE1F" w:rsidR="006322F1" w:rsidRPr="00724947" w:rsidRDefault="006322F1" w:rsidP="002A583D">
      <w:pPr>
        <w:pStyle w:val="FootnoteText"/>
        <w:ind w:left="142" w:hanging="142"/>
        <w:jc w:val="both"/>
      </w:pPr>
      <w:r w:rsidRPr="00724947">
        <w:rPr>
          <w:rStyle w:val="FootnoteReference"/>
        </w:rPr>
        <w:footnoteRef/>
      </w:r>
      <w:r w:rsidRPr="00724947">
        <w:t xml:space="preserve"> </w:t>
      </w:r>
      <w:r w:rsidRPr="00724947">
        <w:rPr>
          <w:i/>
        </w:rPr>
        <w:t xml:space="preserve">Recovery of Medical Costs for Asbestos Diseases (Wales) Bill </w:t>
      </w:r>
      <w:r w:rsidRPr="00724947">
        <w:rPr>
          <w:i/>
          <w:lang w:val="en-AU"/>
        </w:rPr>
        <w:t>– Reference by the Counsel General for Wales</w:t>
      </w:r>
      <w:r w:rsidRPr="00724947">
        <w:t xml:space="preserve"> [2015] UKSC 3.</w:t>
      </w:r>
    </w:p>
  </w:footnote>
  <w:footnote w:id="43">
    <w:p w14:paraId="5649E3E3" w14:textId="0FF044F7" w:rsidR="006322F1" w:rsidRPr="00724947" w:rsidRDefault="006322F1" w:rsidP="002A583D">
      <w:pPr>
        <w:pStyle w:val="FootnoteText"/>
        <w:ind w:left="142" w:hanging="142"/>
        <w:jc w:val="both"/>
        <w:rPr>
          <w:lang w:val="en-AU"/>
        </w:rPr>
      </w:pPr>
      <w:r w:rsidRPr="00724947">
        <w:rPr>
          <w:rStyle w:val="FootnoteReference"/>
        </w:rPr>
        <w:footnoteRef/>
      </w:r>
      <w:r w:rsidRPr="00724947">
        <w:t xml:space="preserve"> </w:t>
      </w:r>
      <w:r w:rsidRPr="00724947">
        <w:rPr>
          <w:i/>
        </w:rPr>
        <w:t xml:space="preserve">AXA </w:t>
      </w:r>
      <w:r w:rsidR="00F531CB" w:rsidRPr="00724947">
        <w:t>(n 25</w:t>
      </w:r>
      <w:r w:rsidRPr="00724947">
        <w:t xml:space="preserve">) </w:t>
      </w:r>
      <w:r w:rsidRPr="00724947">
        <w:rPr>
          <w:lang w:val="en-AU"/>
        </w:rPr>
        <w:t>[51] (Lord Hope).</w:t>
      </w:r>
    </w:p>
  </w:footnote>
  <w:footnote w:id="44">
    <w:p w14:paraId="098F8382" w14:textId="39D01881" w:rsidR="006322F1" w:rsidRPr="00724947" w:rsidRDefault="006322F1" w:rsidP="002A583D">
      <w:pPr>
        <w:pStyle w:val="FootnoteText"/>
        <w:ind w:left="142" w:hanging="142"/>
        <w:jc w:val="both"/>
        <w:rPr>
          <w:lang w:val="en-AU"/>
        </w:rPr>
      </w:pPr>
      <w:r w:rsidRPr="00724947">
        <w:rPr>
          <w:rStyle w:val="FootnoteReference"/>
        </w:rPr>
        <w:footnoteRef/>
      </w:r>
      <w:r w:rsidRPr="00724947">
        <w:t xml:space="preserve"> </w:t>
      </w:r>
      <w:r w:rsidRPr="00724947">
        <w:rPr>
          <w:i/>
        </w:rPr>
        <w:t xml:space="preserve">R v Secretary of State for the Home Department, ex p Simms </w:t>
      </w:r>
      <w:r w:rsidRPr="00724947">
        <w:t xml:space="preserve">[2000] 2 AC </w:t>
      </w:r>
      <w:r w:rsidRPr="00724947">
        <w:rPr>
          <w:lang w:val="en-AU"/>
        </w:rPr>
        <w:t xml:space="preserve">115; </w:t>
      </w:r>
      <w:r w:rsidRPr="00724947">
        <w:rPr>
          <w:i/>
          <w:lang w:val="en-AU"/>
        </w:rPr>
        <w:t xml:space="preserve">Ahmed v HM Treasury </w:t>
      </w:r>
      <w:r w:rsidRPr="00724947">
        <w:rPr>
          <w:lang w:val="en-AU"/>
        </w:rPr>
        <w:t xml:space="preserve">[2010] UKSC 2. </w:t>
      </w:r>
    </w:p>
  </w:footnote>
  <w:footnote w:id="45">
    <w:p w14:paraId="64B89C7F" w14:textId="77777777" w:rsidR="00F531CB" w:rsidRPr="00724947" w:rsidRDefault="00F531CB" w:rsidP="002A583D">
      <w:pPr>
        <w:pStyle w:val="FootnoteText"/>
        <w:ind w:left="142" w:hanging="142"/>
        <w:jc w:val="both"/>
      </w:pPr>
      <w:r w:rsidRPr="00724947">
        <w:rPr>
          <w:rStyle w:val="FootnoteReference"/>
        </w:rPr>
        <w:footnoteRef/>
      </w:r>
      <w:r w:rsidRPr="00724947">
        <w:t xml:space="preserve"> (1765) 95 ER 807.</w:t>
      </w:r>
    </w:p>
  </w:footnote>
  <w:footnote w:id="46">
    <w:p w14:paraId="27D9CEA0" w14:textId="06501569" w:rsidR="006322F1" w:rsidRPr="00724947" w:rsidRDefault="006322F1" w:rsidP="002A583D">
      <w:pPr>
        <w:pStyle w:val="FootnoteText"/>
        <w:ind w:left="142" w:hanging="142"/>
        <w:jc w:val="both"/>
      </w:pPr>
      <w:r w:rsidRPr="00724947">
        <w:rPr>
          <w:rStyle w:val="FootnoteReference"/>
        </w:rPr>
        <w:footnoteRef/>
      </w:r>
      <w:r w:rsidRPr="00724947">
        <w:t xml:space="preserve"> </w:t>
      </w:r>
      <w:r w:rsidRPr="00724947">
        <w:rPr>
          <w:i/>
        </w:rPr>
        <w:t xml:space="preserve">Ahmed </w:t>
      </w:r>
      <w:r w:rsidR="00F531CB" w:rsidRPr="00724947">
        <w:t>(n 42</w:t>
      </w:r>
      <w:r w:rsidRPr="00724947">
        <w:t>).</w:t>
      </w:r>
    </w:p>
  </w:footnote>
  <w:footnote w:id="47">
    <w:p w14:paraId="6BB85BF8" w14:textId="3CF0DCD9" w:rsidR="006322F1" w:rsidRPr="00724947" w:rsidRDefault="006322F1" w:rsidP="002A583D">
      <w:pPr>
        <w:pStyle w:val="FootnoteText"/>
        <w:ind w:left="142" w:hanging="142"/>
        <w:jc w:val="both"/>
        <w:rPr>
          <w:lang w:val="en-AU"/>
        </w:rPr>
      </w:pPr>
      <w:r w:rsidRPr="00724947">
        <w:rPr>
          <w:rStyle w:val="FootnoteReference"/>
        </w:rPr>
        <w:footnoteRef/>
      </w:r>
      <w:r w:rsidRPr="00724947">
        <w:t xml:space="preserve"> </w:t>
      </w:r>
      <w:r w:rsidRPr="00724947">
        <w:rPr>
          <w:i/>
          <w:lang w:val="en-AU"/>
        </w:rPr>
        <w:t xml:space="preserve">AXA </w:t>
      </w:r>
      <w:r w:rsidR="00F531CB" w:rsidRPr="00724947">
        <w:rPr>
          <w:lang w:val="en-AU"/>
        </w:rPr>
        <w:t>(n 25)</w:t>
      </w:r>
      <w:r w:rsidRPr="00724947">
        <w:rPr>
          <w:lang w:val="en-AU"/>
        </w:rPr>
        <w:t xml:space="preserve"> [153] (Lord Reed).</w:t>
      </w:r>
    </w:p>
  </w:footnote>
  <w:footnote w:id="48">
    <w:p w14:paraId="05B38294" w14:textId="77777777" w:rsidR="006322F1" w:rsidRPr="00724947" w:rsidRDefault="006322F1" w:rsidP="002A583D">
      <w:pPr>
        <w:pStyle w:val="FootnoteText"/>
        <w:ind w:left="142" w:hanging="142"/>
        <w:jc w:val="both"/>
      </w:pPr>
      <w:r w:rsidRPr="00724947">
        <w:rPr>
          <w:rStyle w:val="FootnoteReference"/>
        </w:rPr>
        <w:footnoteRef/>
      </w:r>
      <w:r w:rsidRPr="00724947">
        <w:t xml:space="preserve"> See e.g. Case 26/62 </w:t>
      </w:r>
      <w:r w:rsidRPr="00724947">
        <w:rPr>
          <w:i/>
        </w:rPr>
        <w:t xml:space="preserve">Van Gen den Loos v </w:t>
      </w:r>
      <w:proofErr w:type="spellStart"/>
      <w:r w:rsidRPr="00724947">
        <w:rPr>
          <w:i/>
        </w:rPr>
        <w:t>Nederlandse</w:t>
      </w:r>
      <w:proofErr w:type="spellEnd"/>
      <w:r w:rsidRPr="00724947">
        <w:rPr>
          <w:i/>
        </w:rPr>
        <w:t xml:space="preserve"> </w:t>
      </w:r>
      <w:proofErr w:type="spellStart"/>
      <w:r w:rsidRPr="00724947">
        <w:rPr>
          <w:i/>
        </w:rPr>
        <w:t>Administratie</w:t>
      </w:r>
      <w:proofErr w:type="spellEnd"/>
      <w:r w:rsidRPr="00724947">
        <w:rPr>
          <w:i/>
        </w:rPr>
        <w:t xml:space="preserve"> der </w:t>
      </w:r>
      <w:proofErr w:type="spellStart"/>
      <w:r w:rsidRPr="00724947">
        <w:rPr>
          <w:i/>
        </w:rPr>
        <w:t>Belastingen</w:t>
      </w:r>
      <w:proofErr w:type="spellEnd"/>
      <w:r w:rsidRPr="00724947">
        <w:t xml:space="preserve"> [1963] CMLR 105.</w:t>
      </w:r>
    </w:p>
  </w:footnote>
  <w:footnote w:id="49">
    <w:p w14:paraId="73506844" w14:textId="4814B844" w:rsidR="006322F1" w:rsidRPr="00724947" w:rsidRDefault="006322F1" w:rsidP="002A583D">
      <w:pPr>
        <w:pStyle w:val="FootnoteText"/>
        <w:ind w:left="142" w:hanging="142"/>
        <w:jc w:val="both"/>
        <w:rPr>
          <w:lang w:val="en-AU"/>
        </w:rPr>
      </w:pPr>
      <w:r w:rsidRPr="00724947">
        <w:rPr>
          <w:rStyle w:val="FootnoteReference"/>
        </w:rPr>
        <w:footnoteRef/>
      </w:r>
      <w:r w:rsidRPr="00724947">
        <w:t xml:space="preserve"> </w:t>
      </w:r>
      <w:r w:rsidRPr="00724947">
        <w:rPr>
          <w:lang w:val="en-AU"/>
        </w:rPr>
        <w:t xml:space="preserve">Case 283/81 </w:t>
      </w:r>
      <w:proofErr w:type="spellStart"/>
      <w:r w:rsidRPr="00724947">
        <w:rPr>
          <w:i/>
        </w:rPr>
        <w:t>Srl</w:t>
      </w:r>
      <w:proofErr w:type="spellEnd"/>
      <w:r w:rsidRPr="00724947">
        <w:rPr>
          <w:i/>
        </w:rPr>
        <w:t xml:space="preserve"> CILFIT and </w:t>
      </w:r>
      <w:proofErr w:type="spellStart"/>
      <w:r w:rsidRPr="00724947">
        <w:rPr>
          <w:i/>
        </w:rPr>
        <w:t>Lanificio</w:t>
      </w:r>
      <w:proofErr w:type="spellEnd"/>
      <w:r w:rsidRPr="00724947">
        <w:rPr>
          <w:i/>
        </w:rPr>
        <w:t xml:space="preserve"> di </w:t>
      </w:r>
      <w:proofErr w:type="spellStart"/>
      <w:r w:rsidRPr="00724947">
        <w:rPr>
          <w:i/>
        </w:rPr>
        <w:t>Gavardo</w:t>
      </w:r>
      <w:proofErr w:type="spellEnd"/>
      <w:r w:rsidRPr="00724947">
        <w:rPr>
          <w:i/>
        </w:rPr>
        <w:t xml:space="preserve"> </w:t>
      </w:r>
      <w:proofErr w:type="spellStart"/>
      <w:r w:rsidRPr="00724947">
        <w:rPr>
          <w:i/>
        </w:rPr>
        <w:t>SpA</w:t>
      </w:r>
      <w:proofErr w:type="spellEnd"/>
      <w:r w:rsidRPr="00724947">
        <w:rPr>
          <w:i/>
        </w:rPr>
        <w:t xml:space="preserve"> </w:t>
      </w:r>
      <w:r w:rsidRPr="00724947">
        <w:rPr>
          <w:i/>
          <w:lang w:val="en-AU"/>
        </w:rPr>
        <w:t>v Ministry of Health</w:t>
      </w:r>
      <w:r w:rsidRPr="00724947">
        <w:rPr>
          <w:lang w:val="en-AU"/>
        </w:rPr>
        <w:t xml:space="preserve"> [1982] ECR 3415.</w:t>
      </w:r>
    </w:p>
  </w:footnote>
  <w:footnote w:id="50">
    <w:p w14:paraId="4E15132B" w14:textId="5C9FC9C3" w:rsidR="006322F1" w:rsidRPr="00724947" w:rsidRDefault="006322F1" w:rsidP="002A583D">
      <w:pPr>
        <w:ind w:left="142" w:hanging="142"/>
        <w:jc w:val="both"/>
        <w:rPr>
          <w:sz w:val="20"/>
          <w:szCs w:val="20"/>
        </w:rPr>
      </w:pPr>
      <w:r w:rsidRPr="00724947">
        <w:rPr>
          <w:rStyle w:val="FootnoteReference"/>
          <w:sz w:val="20"/>
          <w:szCs w:val="20"/>
        </w:rPr>
        <w:footnoteRef/>
      </w:r>
      <w:r w:rsidRPr="00724947">
        <w:rPr>
          <w:sz w:val="20"/>
          <w:szCs w:val="20"/>
        </w:rPr>
        <w:t xml:space="preserve"> See e</w:t>
      </w:r>
      <w:r w:rsidRPr="00724947">
        <w:rPr>
          <w:sz w:val="20"/>
          <w:szCs w:val="20"/>
          <w:lang w:val="en-AU"/>
        </w:rPr>
        <w:t xml:space="preserve">.g. </w:t>
      </w:r>
      <w:r w:rsidRPr="00724947">
        <w:rPr>
          <w:i/>
          <w:sz w:val="20"/>
          <w:szCs w:val="20"/>
          <w:lang w:val="en-AU"/>
        </w:rPr>
        <w:t>O’Brien v Ministry of Justice</w:t>
      </w:r>
      <w:r w:rsidRPr="00724947">
        <w:rPr>
          <w:sz w:val="20"/>
          <w:szCs w:val="20"/>
          <w:lang w:val="en-AU"/>
        </w:rPr>
        <w:t>, questions referred to Luxembourg by the Supreme Court: [2010] UKSC 34; answered by Luxembourg: [2012] ICR 955; decided by the Supreme Court: [2013] UKSC 6.</w:t>
      </w:r>
    </w:p>
  </w:footnote>
  <w:footnote w:id="51">
    <w:p w14:paraId="3E5146FA" w14:textId="20B4F84C" w:rsidR="004553E3" w:rsidRPr="00724947" w:rsidRDefault="004553E3" w:rsidP="002A583D">
      <w:pPr>
        <w:pStyle w:val="FootnoteText"/>
        <w:ind w:left="142" w:hanging="142"/>
        <w:jc w:val="both"/>
      </w:pPr>
      <w:r w:rsidRPr="00724947">
        <w:rPr>
          <w:rStyle w:val="FootnoteReference"/>
        </w:rPr>
        <w:footnoteRef/>
      </w:r>
      <w:r w:rsidRPr="00724947">
        <w:t xml:space="preserve"> See e.g. </w:t>
      </w:r>
      <w:r w:rsidRPr="00724947">
        <w:rPr>
          <w:shd w:val="clear" w:color="auto" w:fill="FFFFFF"/>
        </w:rPr>
        <w:t>Criminal Procedure (Scotland) Act 1995 s 288ZB.</w:t>
      </w:r>
    </w:p>
  </w:footnote>
  <w:footnote w:id="52">
    <w:p w14:paraId="3B6F0E31" w14:textId="1AD6AC47" w:rsidR="006322F1" w:rsidRPr="00724947" w:rsidRDefault="006322F1" w:rsidP="002A583D">
      <w:pPr>
        <w:pStyle w:val="FootnoteText"/>
        <w:ind w:left="142" w:hanging="142"/>
        <w:jc w:val="both"/>
      </w:pPr>
      <w:r w:rsidRPr="00724947">
        <w:rPr>
          <w:rStyle w:val="FootnoteReference"/>
        </w:rPr>
        <w:footnoteRef/>
      </w:r>
      <w:r w:rsidRPr="00724947">
        <w:t xml:space="preserve"> </w:t>
      </w:r>
      <w:r w:rsidR="004553E3" w:rsidRPr="00724947">
        <w:t>European Communities Act 1972 s 2(1).</w:t>
      </w:r>
    </w:p>
  </w:footnote>
  <w:footnote w:id="53">
    <w:p w14:paraId="0F2A4423" w14:textId="76FC61AF" w:rsidR="006322F1" w:rsidRPr="00724947" w:rsidRDefault="006322F1" w:rsidP="002A583D">
      <w:pPr>
        <w:pStyle w:val="FootnoteText"/>
        <w:ind w:left="142" w:hanging="142"/>
        <w:jc w:val="both"/>
        <w:rPr>
          <w:lang w:val="en-AU"/>
        </w:rPr>
      </w:pPr>
      <w:r w:rsidRPr="00724947">
        <w:rPr>
          <w:rStyle w:val="FootnoteReference"/>
        </w:rPr>
        <w:footnoteRef/>
      </w:r>
      <w:r w:rsidRPr="00724947">
        <w:t xml:space="preserve"> </w:t>
      </w:r>
      <w:r w:rsidR="004553E3" w:rsidRPr="00724947">
        <w:rPr>
          <w:i/>
          <w:lang w:val="en-AU"/>
        </w:rPr>
        <w:t>O’Brien</w:t>
      </w:r>
      <w:r w:rsidR="004553E3" w:rsidRPr="00724947">
        <w:rPr>
          <w:lang w:val="en-AU"/>
        </w:rPr>
        <w:t xml:space="preserve"> (n 48).</w:t>
      </w:r>
    </w:p>
  </w:footnote>
  <w:footnote w:id="54">
    <w:p w14:paraId="74ECBDE5" w14:textId="77777777" w:rsidR="006322F1" w:rsidRPr="00724947" w:rsidRDefault="006322F1" w:rsidP="002A583D">
      <w:pPr>
        <w:pStyle w:val="FootnoteText"/>
        <w:ind w:left="142" w:hanging="142"/>
        <w:jc w:val="both"/>
        <w:rPr>
          <w:lang w:val="en-AU"/>
        </w:rPr>
      </w:pPr>
      <w:r w:rsidRPr="00724947">
        <w:rPr>
          <w:rStyle w:val="FootnoteReference"/>
        </w:rPr>
        <w:footnoteRef/>
      </w:r>
      <w:r w:rsidRPr="00724947">
        <w:t xml:space="preserve"> </w:t>
      </w:r>
      <w:r w:rsidRPr="00724947">
        <w:rPr>
          <w:i/>
          <w:lang w:val="en-AU"/>
        </w:rPr>
        <w:t xml:space="preserve">R v Secretary of State for Transport, ex p </w:t>
      </w:r>
      <w:proofErr w:type="spellStart"/>
      <w:r w:rsidRPr="00724947">
        <w:rPr>
          <w:i/>
          <w:lang w:val="en-AU"/>
        </w:rPr>
        <w:t>Factortame</w:t>
      </w:r>
      <w:proofErr w:type="spellEnd"/>
      <w:r w:rsidRPr="00724947">
        <w:rPr>
          <w:i/>
          <w:lang w:val="en-AU"/>
        </w:rPr>
        <w:t xml:space="preserve"> (No 2)</w:t>
      </w:r>
      <w:r w:rsidRPr="00724947">
        <w:rPr>
          <w:lang w:val="en-AU"/>
        </w:rPr>
        <w:t xml:space="preserve"> [1991] AC 601.</w:t>
      </w:r>
    </w:p>
  </w:footnote>
  <w:footnote w:id="55">
    <w:p w14:paraId="16D4B54B" w14:textId="77777777" w:rsidR="006322F1" w:rsidRPr="00724947" w:rsidRDefault="006322F1" w:rsidP="002A583D">
      <w:pPr>
        <w:pStyle w:val="FootnoteText"/>
        <w:ind w:left="142" w:hanging="142"/>
        <w:jc w:val="both"/>
      </w:pPr>
      <w:r w:rsidRPr="00724947">
        <w:rPr>
          <w:rStyle w:val="FootnoteReference"/>
        </w:rPr>
        <w:footnoteRef/>
      </w:r>
      <w:r w:rsidRPr="00724947">
        <w:t xml:space="preserve"> Ibid 658 (Lord Bridge).</w:t>
      </w:r>
    </w:p>
  </w:footnote>
  <w:footnote w:id="56">
    <w:p w14:paraId="110B2C83" w14:textId="1F7437D0" w:rsidR="006322F1" w:rsidRPr="00724947" w:rsidRDefault="006322F1" w:rsidP="002A583D">
      <w:pPr>
        <w:pStyle w:val="FootnoteText"/>
        <w:ind w:left="142" w:hanging="142"/>
        <w:jc w:val="both"/>
        <w:rPr>
          <w:lang w:val="en-AU"/>
        </w:rPr>
      </w:pPr>
      <w:r w:rsidRPr="00724947">
        <w:rPr>
          <w:rStyle w:val="FootnoteReference"/>
        </w:rPr>
        <w:footnoteRef/>
      </w:r>
      <w:r w:rsidRPr="00724947">
        <w:t xml:space="preserve"> </w:t>
      </w:r>
      <w:r w:rsidRPr="00724947">
        <w:rPr>
          <w:i/>
          <w:lang w:val="en-AU"/>
        </w:rPr>
        <w:t>Assange v Swedish Prosecution Authority</w:t>
      </w:r>
      <w:r w:rsidRPr="00724947">
        <w:rPr>
          <w:lang w:val="en-AU"/>
        </w:rPr>
        <w:t xml:space="preserve"> [2012] UKSC 22.</w:t>
      </w:r>
    </w:p>
  </w:footnote>
  <w:footnote w:id="57">
    <w:p w14:paraId="2D2173CE" w14:textId="0F2F0B16" w:rsidR="006322F1" w:rsidRPr="00724947" w:rsidRDefault="006322F1" w:rsidP="002A583D">
      <w:pPr>
        <w:pStyle w:val="FootnoteText"/>
        <w:ind w:left="142" w:hanging="142"/>
        <w:jc w:val="both"/>
        <w:rPr>
          <w:lang w:val="en-AU"/>
        </w:rPr>
      </w:pPr>
      <w:r w:rsidRPr="00724947">
        <w:rPr>
          <w:rStyle w:val="FootnoteReference"/>
        </w:rPr>
        <w:footnoteRef/>
      </w:r>
      <w:r w:rsidRPr="00724947">
        <w:t xml:space="preserve"> </w:t>
      </w:r>
      <w:r w:rsidRPr="00724947">
        <w:rPr>
          <w:i/>
          <w:lang w:val="en-AU"/>
        </w:rPr>
        <w:t>R (HS2 Action Alliance Ltd) v Secretary of State for Transport</w:t>
      </w:r>
      <w:r w:rsidRPr="00724947">
        <w:rPr>
          <w:lang w:val="en-AU"/>
        </w:rPr>
        <w:t xml:space="preserve"> [2014] UKSC 3 (</w:t>
      </w:r>
      <w:r w:rsidRPr="00724947">
        <w:rPr>
          <w:i/>
          <w:lang w:val="en-AU"/>
        </w:rPr>
        <w:t>HS2</w:t>
      </w:r>
      <w:r w:rsidRPr="00724947">
        <w:rPr>
          <w:lang w:val="en-AU"/>
        </w:rPr>
        <w:t>).</w:t>
      </w:r>
    </w:p>
  </w:footnote>
  <w:footnote w:id="58">
    <w:p w14:paraId="4BD589A6" w14:textId="7F09D9D6" w:rsidR="006322F1" w:rsidRPr="00724947" w:rsidRDefault="006322F1" w:rsidP="002A583D">
      <w:pPr>
        <w:pStyle w:val="FootnoteText"/>
        <w:ind w:left="142" w:hanging="142"/>
        <w:jc w:val="both"/>
        <w:rPr>
          <w:lang w:val="en-AU"/>
        </w:rPr>
      </w:pPr>
      <w:r w:rsidRPr="00724947">
        <w:rPr>
          <w:rStyle w:val="FootnoteReference"/>
        </w:rPr>
        <w:footnoteRef/>
      </w:r>
      <w:r w:rsidRPr="00724947">
        <w:t xml:space="preserve"> Department of Transport, </w:t>
      </w:r>
      <w:r w:rsidRPr="00724947">
        <w:rPr>
          <w:i/>
        </w:rPr>
        <w:t>High Speed Rail: Investing in Britain’s Future – Decisions and Next Steps</w:t>
      </w:r>
      <w:r w:rsidRPr="00724947">
        <w:t xml:space="preserve"> (</w:t>
      </w:r>
      <w:r w:rsidRPr="00724947">
        <w:rPr>
          <w:lang w:val="en-AU"/>
        </w:rPr>
        <w:t>Cm-8247, 10 January 2012).</w:t>
      </w:r>
    </w:p>
  </w:footnote>
  <w:footnote w:id="59">
    <w:p w14:paraId="1C169622" w14:textId="65D07BF2" w:rsidR="006322F1" w:rsidRPr="00724947" w:rsidRDefault="006322F1" w:rsidP="002A583D">
      <w:pPr>
        <w:ind w:left="142" w:hanging="142"/>
        <w:jc w:val="both"/>
        <w:textAlignment w:val="baseline"/>
        <w:rPr>
          <w:sz w:val="20"/>
          <w:szCs w:val="20"/>
          <w:lang w:val="en"/>
        </w:rPr>
      </w:pPr>
      <w:r w:rsidRPr="00724947">
        <w:rPr>
          <w:rStyle w:val="FootnoteReference"/>
          <w:sz w:val="20"/>
          <w:szCs w:val="20"/>
        </w:rPr>
        <w:footnoteRef/>
      </w:r>
      <w:r w:rsidRPr="00724947">
        <w:rPr>
          <w:sz w:val="20"/>
          <w:szCs w:val="20"/>
        </w:rPr>
        <w:t xml:space="preserve"> </w:t>
      </w:r>
      <w:r w:rsidR="004553E3" w:rsidRPr="00724947">
        <w:rPr>
          <w:bCs/>
          <w:sz w:val="20"/>
          <w:szCs w:val="20"/>
          <w:bdr w:val="none" w:sz="0" w:space="0" w:color="auto" w:frame="1"/>
          <w:lang w:val="en"/>
        </w:rPr>
        <w:t>Directive 2011/92/EU of the European Parliament and of the Council of 13 December 2011 on the assessment of the effects of certain public and private projects on the environment </w:t>
      </w:r>
      <w:r w:rsidR="009F5F0A" w:rsidRPr="00724947">
        <w:rPr>
          <w:bCs/>
          <w:sz w:val="20"/>
          <w:szCs w:val="20"/>
          <w:bdr w:val="none" w:sz="0" w:space="0" w:color="auto" w:frame="1"/>
          <w:lang w:val="en"/>
        </w:rPr>
        <w:t xml:space="preserve">(codification) </w:t>
      </w:r>
      <w:r w:rsidR="004553E3" w:rsidRPr="00724947">
        <w:rPr>
          <w:iCs/>
          <w:sz w:val="20"/>
          <w:szCs w:val="20"/>
        </w:rPr>
        <w:t>OJ L 26.</w:t>
      </w:r>
    </w:p>
  </w:footnote>
  <w:footnote w:id="60">
    <w:p w14:paraId="6C5F8306" w14:textId="3FD83E11" w:rsidR="006322F1" w:rsidRPr="00724947" w:rsidRDefault="006322F1" w:rsidP="002A583D">
      <w:pPr>
        <w:pStyle w:val="FootnoteText"/>
        <w:ind w:left="142" w:hanging="142"/>
        <w:jc w:val="both"/>
        <w:rPr>
          <w:lang w:val="en-AU"/>
        </w:rPr>
      </w:pPr>
      <w:r w:rsidRPr="00724947">
        <w:rPr>
          <w:rStyle w:val="FootnoteReference"/>
        </w:rPr>
        <w:footnoteRef/>
      </w:r>
      <w:r w:rsidRPr="00724947">
        <w:t xml:space="preserve"> Cases C-128/09, C-131/09, C-135/09 </w:t>
      </w:r>
      <w:proofErr w:type="spellStart"/>
      <w:r w:rsidRPr="00724947">
        <w:rPr>
          <w:i/>
          <w:lang w:val="en-AU"/>
        </w:rPr>
        <w:t>Boxus</w:t>
      </w:r>
      <w:proofErr w:type="spellEnd"/>
      <w:r w:rsidRPr="00724947">
        <w:rPr>
          <w:i/>
          <w:lang w:val="en-AU"/>
        </w:rPr>
        <w:t xml:space="preserve"> v Region </w:t>
      </w:r>
      <w:proofErr w:type="spellStart"/>
      <w:r w:rsidRPr="00724947">
        <w:rPr>
          <w:i/>
          <w:lang w:val="en-AU"/>
        </w:rPr>
        <w:t>Wallone</w:t>
      </w:r>
      <w:proofErr w:type="spellEnd"/>
      <w:r w:rsidRPr="00724947">
        <w:rPr>
          <w:lang w:val="en-AU"/>
        </w:rPr>
        <w:t xml:space="preserve"> [2012] </w:t>
      </w:r>
      <w:proofErr w:type="spellStart"/>
      <w:r w:rsidRPr="00724947">
        <w:rPr>
          <w:lang w:val="en-AU"/>
        </w:rPr>
        <w:t>Env</w:t>
      </w:r>
      <w:proofErr w:type="spellEnd"/>
      <w:r w:rsidRPr="00724947">
        <w:rPr>
          <w:lang w:val="en-AU"/>
        </w:rPr>
        <w:t xml:space="preserve"> LR 14; Case C-182/10 </w:t>
      </w:r>
      <w:r w:rsidRPr="00724947">
        <w:rPr>
          <w:i/>
          <w:lang w:val="en-AU"/>
        </w:rPr>
        <w:t xml:space="preserve">Solvay v Region </w:t>
      </w:r>
      <w:proofErr w:type="spellStart"/>
      <w:r w:rsidRPr="00724947">
        <w:rPr>
          <w:i/>
          <w:lang w:val="en-AU"/>
        </w:rPr>
        <w:t>Wallone</w:t>
      </w:r>
      <w:proofErr w:type="spellEnd"/>
      <w:r w:rsidRPr="00724947">
        <w:rPr>
          <w:i/>
          <w:lang w:val="en-AU"/>
        </w:rPr>
        <w:t xml:space="preserve"> </w:t>
      </w:r>
      <w:r w:rsidRPr="00724947">
        <w:rPr>
          <w:lang w:val="en-AU"/>
        </w:rPr>
        <w:t xml:space="preserve">[2012] </w:t>
      </w:r>
      <w:proofErr w:type="spellStart"/>
      <w:r w:rsidRPr="00724947">
        <w:rPr>
          <w:lang w:val="en-AU"/>
        </w:rPr>
        <w:t>Env</w:t>
      </w:r>
      <w:proofErr w:type="spellEnd"/>
      <w:r w:rsidRPr="00724947">
        <w:rPr>
          <w:lang w:val="en-AU"/>
        </w:rPr>
        <w:t xml:space="preserve"> LR 27; Case C-43/10 </w:t>
      </w:r>
      <w:proofErr w:type="spellStart"/>
      <w:r w:rsidRPr="00724947">
        <w:rPr>
          <w:bCs/>
          <w:i/>
        </w:rPr>
        <w:t>Nomarchiaki</w:t>
      </w:r>
      <w:proofErr w:type="spellEnd"/>
      <w:r w:rsidRPr="00724947">
        <w:rPr>
          <w:i/>
        </w:rPr>
        <w:t xml:space="preserve"> </w:t>
      </w:r>
      <w:proofErr w:type="spellStart"/>
      <w:r w:rsidRPr="00724947">
        <w:rPr>
          <w:i/>
        </w:rPr>
        <w:t>Aftodioikisi</w:t>
      </w:r>
      <w:proofErr w:type="spellEnd"/>
      <w:r w:rsidRPr="00724947">
        <w:rPr>
          <w:i/>
        </w:rPr>
        <w:t xml:space="preserve"> </w:t>
      </w:r>
      <w:proofErr w:type="spellStart"/>
      <w:r w:rsidRPr="00724947">
        <w:rPr>
          <w:i/>
        </w:rPr>
        <w:t>Aitoloakarnanias</w:t>
      </w:r>
      <w:proofErr w:type="spellEnd"/>
      <w:r w:rsidRPr="00724947">
        <w:rPr>
          <w:i/>
        </w:rPr>
        <w:t xml:space="preserve"> </w:t>
      </w:r>
      <w:r w:rsidRPr="00724947">
        <w:rPr>
          <w:bCs/>
          <w:i/>
        </w:rPr>
        <w:t xml:space="preserve">v </w:t>
      </w:r>
      <w:proofErr w:type="spellStart"/>
      <w:r w:rsidRPr="00724947">
        <w:rPr>
          <w:bCs/>
          <w:i/>
        </w:rPr>
        <w:t>Ipourgos</w:t>
      </w:r>
      <w:proofErr w:type="spellEnd"/>
      <w:r w:rsidRPr="00724947">
        <w:rPr>
          <w:bCs/>
          <w:i/>
        </w:rPr>
        <w:t xml:space="preserve"> </w:t>
      </w:r>
      <w:proofErr w:type="spellStart"/>
      <w:r w:rsidRPr="00724947">
        <w:rPr>
          <w:bCs/>
          <w:i/>
        </w:rPr>
        <w:t>Perivallontos</w:t>
      </w:r>
      <w:proofErr w:type="spellEnd"/>
      <w:r w:rsidRPr="00724947">
        <w:rPr>
          <w:i/>
        </w:rPr>
        <w:t xml:space="preserve">, </w:t>
      </w:r>
      <w:proofErr w:type="spellStart"/>
      <w:r w:rsidRPr="00724947">
        <w:rPr>
          <w:bCs/>
          <w:i/>
        </w:rPr>
        <w:t>Khorotaxias</w:t>
      </w:r>
      <w:proofErr w:type="spellEnd"/>
      <w:r w:rsidRPr="00724947">
        <w:rPr>
          <w:bCs/>
          <w:i/>
        </w:rPr>
        <w:t xml:space="preserve"> kai </w:t>
      </w:r>
      <w:proofErr w:type="spellStart"/>
      <w:r w:rsidRPr="00724947">
        <w:rPr>
          <w:bCs/>
          <w:i/>
        </w:rPr>
        <w:t>Dimosion</w:t>
      </w:r>
      <w:proofErr w:type="spellEnd"/>
      <w:r w:rsidRPr="00724947">
        <w:rPr>
          <w:bCs/>
          <w:i/>
        </w:rPr>
        <w:t xml:space="preserve"> Ergon</w:t>
      </w:r>
      <w:r w:rsidRPr="00724947">
        <w:rPr>
          <w:i/>
          <w:lang w:val="en-AU"/>
        </w:rPr>
        <w:t xml:space="preserve"> </w:t>
      </w:r>
      <w:r w:rsidRPr="00724947">
        <w:rPr>
          <w:lang w:val="en-AU"/>
        </w:rPr>
        <w:t xml:space="preserve">[2013] </w:t>
      </w:r>
      <w:proofErr w:type="spellStart"/>
      <w:r w:rsidRPr="00724947">
        <w:rPr>
          <w:lang w:val="en-AU"/>
        </w:rPr>
        <w:t>Env</w:t>
      </w:r>
      <w:proofErr w:type="spellEnd"/>
      <w:r w:rsidRPr="00724947">
        <w:rPr>
          <w:lang w:val="en-AU"/>
        </w:rPr>
        <w:t xml:space="preserve"> LR 21.</w:t>
      </w:r>
    </w:p>
  </w:footnote>
  <w:footnote w:id="61">
    <w:p w14:paraId="111A8069" w14:textId="645C8F43" w:rsidR="006322F1" w:rsidRPr="00724947" w:rsidRDefault="006322F1" w:rsidP="002A583D">
      <w:pPr>
        <w:pStyle w:val="FootnoteText"/>
        <w:ind w:left="142" w:hanging="142"/>
        <w:jc w:val="both"/>
        <w:rPr>
          <w:lang w:val="en-AU"/>
        </w:rPr>
      </w:pPr>
      <w:r w:rsidRPr="00724947">
        <w:rPr>
          <w:rStyle w:val="FootnoteReference"/>
        </w:rPr>
        <w:footnoteRef/>
      </w:r>
      <w:r w:rsidRPr="00724947">
        <w:t xml:space="preserve"> </w:t>
      </w:r>
      <w:r w:rsidRPr="00724947">
        <w:rPr>
          <w:i/>
        </w:rPr>
        <w:t>HS2</w:t>
      </w:r>
      <w:r w:rsidR="00F531CB" w:rsidRPr="00724947">
        <w:t xml:space="preserve"> (n 55</w:t>
      </w:r>
      <w:r w:rsidRPr="00724947">
        <w:t xml:space="preserve">) </w:t>
      </w:r>
      <w:r w:rsidRPr="00724947">
        <w:rPr>
          <w:lang w:val="en-AU"/>
        </w:rPr>
        <w:t>[203] (Lord Neuberger and Lord Mance).</w:t>
      </w:r>
    </w:p>
  </w:footnote>
  <w:footnote w:id="62">
    <w:p w14:paraId="66B646A9" w14:textId="362FC6E8" w:rsidR="006322F1" w:rsidRPr="00724947" w:rsidRDefault="006322F1" w:rsidP="002A583D">
      <w:pPr>
        <w:pStyle w:val="FootnoteText"/>
        <w:ind w:left="142" w:hanging="142"/>
        <w:jc w:val="both"/>
        <w:rPr>
          <w:lang w:val="en-AU"/>
        </w:rPr>
      </w:pPr>
      <w:r w:rsidRPr="00724947">
        <w:rPr>
          <w:rStyle w:val="FootnoteReference"/>
        </w:rPr>
        <w:footnoteRef/>
      </w:r>
      <w:r w:rsidRPr="00724947">
        <w:t xml:space="preserve"> </w:t>
      </w:r>
      <w:r w:rsidRPr="00724947">
        <w:rPr>
          <w:lang w:val="en-AU"/>
        </w:rPr>
        <w:t xml:space="preserve">See </w:t>
      </w:r>
      <w:r w:rsidRPr="00724947">
        <w:rPr>
          <w:i/>
          <w:lang w:val="en-AU"/>
        </w:rPr>
        <w:t>Pepper v Hart</w:t>
      </w:r>
      <w:r w:rsidRPr="00724947">
        <w:rPr>
          <w:lang w:val="en-AU"/>
        </w:rPr>
        <w:t xml:space="preserve"> [1993] AC 593, 638 (Lord Browne-Wilkinson).</w:t>
      </w:r>
    </w:p>
  </w:footnote>
  <w:footnote w:id="63">
    <w:p w14:paraId="74A0228D" w14:textId="7E283EB8" w:rsidR="006322F1" w:rsidRPr="00724947" w:rsidRDefault="006322F1" w:rsidP="002A583D">
      <w:pPr>
        <w:pStyle w:val="FootnoteText"/>
        <w:ind w:left="142" w:hanging="142"/>
        <w:jc w:val="both"/>
      </w:pPr>
      <w:r w:rsidRPr="00724947">
        <w:rPr>
          <w:rStyle w:val="FootnoteReference"/>
        </w:rPr>
        <w:footnoteRef/>
      </w:r>
      <w:r w:rsidRPr="00724947">
        <w:t xml:space="preserve"> Other European countries take the same view, see e.g. Paul Craig, ‘Constitutionalising Constitutional Law: HS2’ [2014] </w:t>
      </w:r>
      <w:r w:rsidRPr="00724947">
        <w:rPr>
          <w:i/>
        </w:rPr>
        <w:t xml:space="preserve">Public Law </w:t>
      </w:r>
      <w:r w:rsidRPr="00724947">
        <w:t>373, 377.</w:t>
      </w:r>
    </w:p>
  </w:footnote>
  <w:footnote w:id="64">
    <w:p w14:paraId="2355FB73" w14:textId="74A7B4AD" w:rsidR="006322F1" w:rsidRPr="00724947" w:rsidRDefault="006322F1" w:rsidP="002A583D">
      <w:pPr>
        <w:pStyle w:val="FootnoteText"/>
        <w:ind w:left="142" w:hanging="142"/>
        <w:jc w:val="both"/>
      </w:pPr>
      <w:r w:rsidRPr="00724947">
        <w:rPr>
          <w:rStyle w:val="FootnoteReference"/>
        </w:rPr>
        <w:footnoteRef/>
      </w:r>
      <w:r w:rsidRPr="00724947">
        <w:t xml:space="preserve"> </w:t>
      </w:r>
      <w:r w:rsidRPr="00724947">
        <w:rPr>
          <w:i/>
          <w:lang w:val="en-AU"/>
        </w:rPr>
        <w:t>HS2</w:t>
      </w:r>
      <w:r w:rsidR="00F531CB" w:rsidRPr="00724947">
        <w:rPr>
          <w:lang w:val="en-AU"/>
        </w:rPr>
        <w:t xml:space="preserve"> (n 55</w:t>
      </w:r>
      <w:r w:rsidRPr="00724947">
        <w:rPr>
          <w:lang w:val="en-AU"/>
        </w:rPr>
        <w:t>) [79] (Lord Reed).</w:t>
      </w:r>
    </w:p>
  </w:footnote>
  <w:footnote w:id="65">
    <w:p w14:paraId="4D636C41" w14:textId="2E9CFECB" w:rsidR="006322F1" w:rsidRPr="00724947" w:rsidRDefault="006322F1" w:rsidP="002A583D">
      <w:pPr>
        <w:pStyle w:val="FootnoteText"/>
        <w:ind w:left="142" w:hanging="142"/>
        <w:jc w:val="both"/>
        <w:rPr>
          <w:i/>
        </w:rPr>
      </w:pPr>
      <w:r w:rsidRPr="00724947">
        <w:rPr>
          <w:rStyle w:val="FootnoteReference"/>
        </w:rPr>
        <w:footnoteRef/>
      </w:r>
      <w:r w:rsidRPr="00724947">
        <w:t xml:space="preserve"> </w:t>
      </w:r>
      <w:proofErr w:type="spellStart"/>
      <w:r w:rsidRPr="00724947">
        <w:rPr>
          <w:i/>
        </w:rPr>
        <w:t>Thoburn</w:t>
      </w:r>
      <w:proofErr w:type="spellEnd"/>
      <w:r w:rsidRPr="00724947">
        <w:rPr>
          <w:i/>
        </w:rPr>
        <w:t xml:space="preserve"> v Sunderland City Council </w:t>
      </w:r>
      <w:r w:rsidRPr="00724947">
        <w:t>[2002] EWHC 195 (Admin)</w:t>
      </w:r>
      <w:r w:rsidRPr="00724947">
        <w:rPr>
          <w:i/>
        </w:rPr>
        <w:t>.</w:t>
      </w:r>
    </w:p>
  </w:footnote>
  <w:footnote w:id="66">
    <w:p w14:paraId="525F8264" w14:textId="0622D579" w:rsidR="006322F1" w:rsidRPr="00724947" w:rsidRDefault="006322F1" w:rsidP="002A583D">
      <w:pPr>
        <w:pStyle w:val="FootnoteText"/>
        <w:ind w:left="142" w:hanging="142"/>
        <w:jc w:val="both"/>
        <w:rPr>
          <w:lang w:val="en-AU"/>
        </w:rPr>
      </w:pPr>
      <w:r w:rsidRPr="00724947">
        <w:rPr>
          <w:rStyle w:val="FootnoteReference"/>
        </w:rPr>
        <w:footnoteRef/>
      </w:r>
      <w:r w:rsidRPr="00724947">
        <w:t xml:space="preserve"> </w:t>
      </w:r>
      <w:r w:rsidRPr="00724947">
        <w:rPr>
          <w:i/>
          <w:lang w:val="en-AU"/>
        </w:rPr>
        <w:t>HS2</w:t>
      </w:r>
      <w:r w:rsidR="00F531CB" w:rsidRPr="00724947">
        <w:rPr>
          <w:lang w:val="en-AU"/>
        </w:rPr>
        <w:t xml:space="preserve"> (n 55</w:t>
      </w:r>
      <w:r w:rsidRPr="00724947">
        <w:rPr>
          <w:lang w:val="en-AU"/>
        </w:rPr>
        <w:t xml:space="preserve">) [111] (Lord Reed) discussing </w:t>
      </w:r>
      <w:r w:rsidRPr="00724947">
        <w:rPr>
          <w:i/>
          <w:lang w:val="en-AU"/>
        </w:rPr>
        <w:t xml:space="preserve">Counter-Terrorism Database Act </w:t>
      </w:r>
      <w:r w:rsidRPr="00724947">
        <w:rPr>
          <w:lang w:val="en-AU"/>
        </w:rPr>
        <w:t xml:space="preserve">(2013) 1 </w:t>
      </w:r>
      <w:proofErr w:type="spellStart"/>
      <w:r w:rsidRPr="00724947">
        <w:rPr>
          <w:lang w:val="en-AU"/>
        </w:rPr>
        <w:t>BvR</w:t>
      </w:r>
      <w:proofErr w:type="spellEnd"/>
      <w:r w:rsidRPr="00724947">
        <w:rPr>
          <w:lang w:val="en-AU"/>
        </w:rPr>
        <w:t xml:space="preserve"> 1215/07.</w:t>
      </w:r>
    </w:p>
  </w:footnote>
  <w:footnote w:id="67">
    <w:p w14:paraId="596C9225" w14:textId="623FF344" w:rsidR="006322F1" w:rsidRPr="00724947" w:rsidRDefault="006322F1" w:rsidP="002A583D">
      <w:pPr>
        <w:pStyle w:val="FootnoteText"/>
        <w:ind w:left="142" w:hanging="142"/>
        <w:jc w:val="both"/>
        <w:rPr>
          <w:lang w:val="en-AU"/>
        </w:rPr>
      </w:pPr>
      <w:r w:rsidRPr="00724947">
        <w:rPr>
          <w:rStyle w:val="FootnoteReference"/>
        </w:rPr>
        <w:footnoteRef/>
      </w:r>
      <w:r w:rsidRPr="00724947">
        <w:t xml:space="preserve"> </w:t>
      </w:r>
      <w:r w:rsidRPr="00724947">
        <w:rPr>
          <w:lang w:val="en-AU"/>
        </w:rPr>
        <w:t xml:space="preserve">In the ‘Solange’ cases: </w:t>
      </w:r>
      <w:r w:rsidRPr="00724947">
        <w:rPr>
          <w:i/>
          <w:lang w:val="en-AU"/>
        </w:rPr>
        <w:t xml:space="preserve">Internationale </w:t>
      </w:r>
      <w:proofErr w:type="spellStart"/>
      <w:r w:rsidRPr="00724947">
        <w:rPr>
          <w:i/>
          <w:lang w:val="en-AU"/>
        </w:rPr>
        <w:t>Handelsgesellschaft</w:t>
      </w:r>
      <w:proofErr w:type="spellEnd"/>
      <w:r w:rsidRPr="00724947">
        <w:rPr>
          <w:lang w:val="en-AU"/>
        </w:rPr>
        <w:t xml:space="preserve"> [1974] 2 CMLR 540; </w:t>
      </w:r>
      <w:r w:rsidRPr="00724947">
        <w:rPr>
          <w:i/>
          <w:lang w:val="en-AU"/>
        </w:rPr>
        <w:t xml:space="preserve">Re </w:t>
      </w:r>
      <w:proofErr w:type="spellStart"/>
      <w:r w:rsidRPr="00724947">
        <w:rPr>
          <w:i/>
          <w:lang w:val="en-AU"/>
        </w:rPr>
        <w:t>Wunsche</w:t>
      </w:r>
      <w:proofErr w:type="spellEnd"/>
      <w:r w:rsidRPr="00724947">
        <w:rPr>
          <w:i/>
          <w:lang w:val="en-AU"/>
        </w:rPr>
        <w:t xml:space="preserve"> </w:t>
      </w:r>
      <w:proofErr w:type="spellStart"/>
      <w:r w:rsidRPr="00724947">
        <w:rPr>
          <w:i/>
          <w:lang w:val="en-AU"/>
        </w:rPr>
        <w:t>Handelsgesellschaft</w:t>
      </w:r>
      <w:proofErr w:type="spellEnd"/>
      <w:r w:rsidRPr="00724947">
        <w:rPr>
          <w:lang w:val="en-AU"/>
        </w:rPr>
        <w:t xml:space="preserve"> [1987] 3 CMLR 225.</w:t>
      </w:r>
    </w:p>
  </w:footnote>
  <w:footnote w:id="68">
    <w:p w14:paraId="3BA25B94" w14:textId="5E2155EC" w:rsidR="006322F1" w:rsidRPr="00724947" w:rsidRDefault="006322F1" w:rsidP="002A583D">
      <w:pPr>
        <w:pStyle w:val="FootnoteText"/>
        <w:ind w:left="142" w:hanging="142"/>
        <w:jc w:val="both"/>
      </w:pPr>
      <w:r w:rsidRPr="00724947">
        <w:rPr>
          <w:rStyle w:val="FootnoteReference"/>
        </w:rPr>
        <w:footnoteRef/>
      </w:r>
      <w:r w:rsidRPr="00724947">
        <w:t xml:space="preserve"> </w:t>
      </w:r>
      <w:r w:rsidRPr="00724947">
        <w:rPr>
          <w:i/>
          <w:lang w:val="en-AU"/>
        </w:rPr>
        <w:t>HS2</w:t>
      </w:r>
      <w:r w:rsidR="00F531CB" w:rsidRPr="00724947">
        <w:rPr>
          <w:lang w:val="en-AU"/>
        </w:rPr>
        <w:t xml:space="preserve"> (n 55</w:t>
      </w:r>
      <w:r w:rsidRPr="00724947">
        <w:rPr>
          <w:lang w:val="en-AU"/>
        </w:rPr>
        <w:t>) [101] (Lord Reed).</w:t>
      </w:r>
    </w:p>
  </w:footnote>
  <w:footnote w:id="69">
    <w:p w14:paraId="3E7A9AC4" w14:textId="0800377F" w:rsidR="006322F1" w:rsidRPr="00724947" w:rsidRDefault="006322F1" w:rsidP="002A583D">
      <w:pPr>
        <w:pStyle w:val="FootnoteText"/>
        <w:ind w:left="142" w:hanging="142"/>
        <w:jc w:val="both"/>
      </w:pPr>
      <w:r w:rsidRPr="00724947">
        <w:rPr>
          <w:rStyle w:val="FootnoteReference"/>
        </w:rPr>
        <w:footnoteRef/>
      </w:r>
      <w:r w:rsidRPr="00724947">
        <w:t xml:space="preserve"> Human Rights Act 1998 s 3(1).</w:t>
      </w:r>
    </w:p>
  </w:footnote>
  <w:footnote w:id="70">
    <w:p w14:paraId="73A616C8" w14:textId="425DD725" w:rsidR="006322F1" w:rsidRPr="00724947" w:rsidRDefault="006322F1" w:rsidP="002A583D">
      <w:pPr>
        <w:pStyle w:val="FootnoteText"/>
        <w:ind w:left="142" w:hanging="142"/>
        <w:jc w:val="both"/>
      </w:pPr>
      <w:r w:rsidRPr="00724947">
        <w:rPr>
          <w:rStyle w:val="FootnoteReference"/>
        </w:rPr>
        <w:footnoteRef/>
      </w:r>
      <w:r w:rsidRPr="00724947">
        <w:t xml:space="preserve"> [2004] UKHL 30.</w:t>
      </w:r>
    </w:p>
  </w:footnote>
  <w:footnote w:id="71">
    <w:p w14:paraId="16FB5D47" w14:textId="766F8FDF" w:rsidR="006322F1" w:rsidRPr="00724947" w:rsidRDefault="006322F1" w:rsidP="002A583D">
      <w:pPr>
        <w:pStyle w:val="FootnoteText"/>
        <w:ind w:left="142" w:hanging="142"/>
        <w:jc w:val="both"/>
      </w:pPr>
      <w:r w:rsidRPr="00724947">
        <w:rPr>
          <w:rStyle w:val="FootnoteReference"/>
        </w:rPr>
        <w:footnoteRef/>
      </w:r>
      <w:r w:rsidRPr="00724947">
        <w:t xml:space="preserve"> </w:t>
      </w:r>
      <w:r w:rsidRPr="00724947">
        <w:rPr>
          <w:i/>
        </w:rPr>
        <w:t xml:space="preserve">Re G (Adoption: Unmarried Couple) </w:t>
      </w:r>
      <w:r w:rsidRPr="00724947">
        <w:t>[2008] UKHL 38.</w:t>
      </w:r>
    </w:p>
  </w:footnote>
  <w:footnote w:id="72">
    <w:p w14:paraId="490C6CFC" w14:textId="67EA6D93" w:rsidR="006322F1" w:rsidRPr="00724947" w:rsidRDefault="006322F1" w:rsidP="002A583D">
      <w:pPr>
        <w:pStyle w:val="FootnoteText"/>
        <w:ind w:left="142" w:hanging="142"/>
        <w:jc w:val="both"/>
      </w:pPr>
      <w:r w:rsidRPr="00724947">
        <w:rPr>
          <w:rStyle w:val="FootnoteReference"/>
        </w:rPr>
        <w:footnoteRef/>
      </w:r>
      <w:r w:rsidRPr="00724947">
        <w:t xml:space="preserve"> Human Rights Act 1998 s 4.</w:t>
      </w:r>
    </w:p>
  </w:footnote>
  <w:footnote w:id="73">
    <w:p w14:paraId="250E8098" w14:textId="25A4152A" w:rsidR="006322F1" w:rsidRPr="00724947" w:rsidRDefault="006322F1" w:rsidP="002A583D">
      <w:pPr>
        <w:pStyle w:val="FootnoteText"/>
        <w:ind w:left="142" w:hanging="142"/>
        <w:jc w:val="both"/>
      </w:pPr>
      <w:r w:rsidRPr="00724947">
        <w:rPr>
          <w:rStyle w:val="FootnoteReference"/>
        </w:rPr>
        <w:footnoteRef/>
      </w:r>
      <w:r w:rsidRPr="00724947">
        <w:t xml:space="preserve"> Human Rights Act 1998 s 10.</w:t>
      </w:r>
    </w:p>
  </w:footnote>
  <w:footnote w:id="74">
    <w:p w14:paraId="5988092F" w14:textId="6A8F7D63" w:rsidR="004553E3" w:rsidRPr="00724947" w:rsidRDefault="004553E3" w:rsidP="002A583D">
      <w:pPr>
        <w:pStyle w:val="Heading2"/>
        <w:numPr>
          <w:ilvl w:val="0"/>
          <w:numId w:val="0"/>
        </w:numPr>
        <w:shd w:val="clear" w:color="auto" w:fill="FFFFFF"/>
        <w:spacing w:before="0" w:after="0"/>
        <w:ind w:left="142" w:hanging="142"/>
        <w:jc w:val="both"/>
        <w:rPr>
          <w:rFonts w:ascii="Times New Roman" w:hAnsi="Times New Roman" w:cs="Times New Roman"/>
          <w:b w:val="0"/>
          <w:i w:val="0"/>
          <w:sz w:val="20"/>
          <w:szCs w:val="20"/>
        </w:rPr>
      </w:pPr>
      <w:r w:rsidRPr="00724947">
        <w:rPr>
          <w:rStyle w:val="FootnoteReference"/>
          <w:rFonts w:ascii="Times New Roman" w:hAnsi="Times New Roman" w:cs="Times New Roman"/>
          <w:i w:val="0"/>
          <w:sz w:val="20"/>
          <w:szCs w:val="20"/>
        </w:rPr>
        <w:footnoteRef/>
      </w:r>
      <w:r w:rsidRPr="00724947">
        <w:rPr>
          <w:rFonts w:ascii="Times New Roman" w:hAnsi="Times New Roman" w:cs="Times New Roman"/>
          <w:i w:val="0"/>
          <w:sz w:val="20"/>
          <w:szCs w:val="20"/>
        </w:rPr>
        <w:t xml:space="preserve"> </w:t>
      </w:r>
      <w:r w:rsidRPr="00724947">
        <w:rPr>
          <w:rFonts w:ascii="Times New Roman" w:hAnsi="Times New Roman" w:cs="Times New Roman"/>
          <w:b w:val="0"/>
          <w:sz w:val="20"/>
          <w:szCs w:val="20"/>
        </w:rPr>
        <w:t>R (</w:t>
      </w:r>
      <w:proofErr w:type="spellStart"/>
      <w:r w:rsidRPr="00724947">
        <w:rPr>
          <w:rFonts w:ascii="Times New Roman" w:hAnsi="Times New Roman" w:cs="Times New Roman"/>
          <w:b w:val="0"/>
          <w:sz w:val="20"/>
          <w:szCs w:val="20"/>
        </w:rPr>
        <w:t>Hirst</w:t>
      </w:r>
      <w:proofErr w:type="spellEnd"/>
      <w:r w:rsidRPr="00724947">
        <w:rPr>
          <w:rFonts w:ascii="Times New Roman" w:hAnsi="Times New Roman" w:cs="Times New Roman"/>
          <w:b w:val="0"/>
          <w:sz w:val="20"/>
          <w:szCs w:val="20"/>
        </w:rPr>
        <w:t>) v Secretary of State for the Home Department</w:t>
      </w:r>
      <w:r w:rsidR="00A47C72" w:rsidRPr="00724947">
        <w:rPr>
          <w:rStyle w:val="apple-converted-space"/>
          <w:rFonts w:ascii="Times New Roman" w:hAnsi="Times New Roman" w:cs="Times New Roman"/>
          <w:b w:val="0"/>
          <w:i w:val="0"/>
          <w:sz w:val="20"/>
          <w:szCs w:val="20"/>
        </w:rPr>
        <w:t xml:space="preserve"> </w:t>
      </w:r>
      <w:r w:rsidRPr="00724947">
        <w:rPr>
          <w:rFonts w:ascii="Times New Roman" w:hAnsi="Times New Roman" w:cs="Times New Roman"/>
          <w:b w:val="0"/>
          <w:i w:val="0"/>
          <w:sz w:val="20"/>
          <w:szCs w:val="20"/>
        </w:rPr>
        <w:t xml:space="preserve">[2005] EWHC 1480 (Admin); see also </w:t>
      </w:r>
      <w:proofErr w:type="spellStart"/>
      <w:r w:rsidRPr="00724947">
        <w:rPr>
          <w:rFonts w:ascii="Times New Roman" w:hAnsi="Times New Roman" w:cs="Times New Roman"/>
          <w:b w:val="0"/>
          <w:sz w:val="20"/>
          <w:szCs w:val="20"/>
        </w:rPr>
        <w:t>Hirst</w:t>
      </w:r>
      <w:proofErr w:type="spellEnd"/>
      <w:r w:rsidRPr="00724947">
        <w:rPr>
          <w:rFonts w:ascii="Times New Roman" w:hAnsi="Times New Roman" w:cs="Times New Roman"/>
          <w:b w:val="0"/>
          <w:sz w:val="20"/>
          <w:szCs w:val="20"/>
        </w:rPr>
        <w:t xml:space="preserve"> v United Kingdom</w:t>
      </w:r>
      <w:r w:rsidRPr="00724947">
        <w:rPr>
          <w:rFonts w:ascii="Times New Roman" w:hAnsi="Times New Roman" w:cs="Times New Roman"/>
          <w:b w:val="0"/>
          <w:i w:val="0"/>
          <w:sz w:val="20"/>
          <w:szCs w:val="20"/>
        </w:rPr>
        <w:t xml:space="preserve"> (2006) 42 EHRR 41.</w:t>
      </w:r>
    </w:p>
  </w:footnote>
  <w:footnote w:id="75">
    <w:p w14:paraId="7C1B6555" w14:textId="1E6BEEDD" w:rsidR="006322F1" w:rsidRPr="00724947" w:rsidRDefault="006322F1" w:rsidP="002A583D">
      <w:pPr>
        <w:pStyle w:val="FootnoteText"/>
        <w:ind w:left="142" w:hanging="142"/>
        <w:jc w:val="both"/>
      </w:pPr>
      <w:r w:rsidRPr="00724947">
        <w:rPr>
          <w:rStyle w:val="FootnoteReference"/>
        </w:rPr>
        <w:footnoteRef/>
      </w:r>
      <w:r w:rsidRPr="00724947">
        <w:t xml:space="preserve"> Lord Phillips of Worth </w:t>
      </w:r>
      <w:proofErr w:type="spellStart"/>
      <w:r w:rsidRPr="00724947">
        <w:t>Matravers</w:t>
      </w:r>
      <w:proofErr w:type="spellEnd"/>
      <w:r w:rsidRPr="00724947">
        <w:t>, ‘</w:t>
      </w:r>
      <w:proofErr w:type="gramStart"/>
      <w:r w:rsidRPr="00724947">
        <w:rPr>
          <w:i/>
        </w:rPr>
        <w:t>The</w:t>
      </w:r>
      <w:proofErr w:type="gramEnd"/>
      <w:r w:rsidRPr="00724947">
        <w:rPr>
          <w:i/>
        </w:rPr>
        <w:t xml:space="preserve"> Art of the Possible: Statutory Interpretation and Human Rights’</w:t>
      </w:r>
      <w:r w:rsidRPr="00724947">
        <w:t xml:space="preserve"> (Inner Temple, 22</w:t>
      </w:r>
      <w:r w:rsidRPr="00724947">
        <w:rPr>
          <w:vertAlign w:val="superscript"/>
        </w:rPr>
        <w:t xml:space="preserve"> </w:t>
      </w:r>
      <w:r w:rsidRPr="00724947">
        <w:t xml:space="preserve">April 2010). </w:t>
      </w:r>
    </w:p>
  </w:footnote>
  <w:footnote w:id="76">
    <w:p w14:paraId="2CFCA1B1" w14:textId="6AB6F2F6" w:rsidR="006322F1" w:rsidRPr="00724947" w:rsidRDefault="006322F1" w:rsidP="002A583D">
      <w:pPr>
        <w:pStyle w:val="FootnoteText"/>
        <w:ind w:left="142" w:hanging="142"/>
        <w:jc w:val="both"/>
      </w:pPr>
      <w:r w:rsidRPr="00724947">
        <w:rPr>
          <w:rStyle w:val="FootnoteReference"/>
        </w:rPr>
        <w:footnoteRef/>
      </w:r>
      <w:r w:rsidRPr="00724947">
        <w:t xml:space="preserve"> The declaration made in </w:t>
      </w:r>
      <w:r w:rsidRPr="00724947">
        <w:rPr>
          <w:i/>
        </w:rPr>
        <w:t xml:space="preserve">R (Reilly (no 2) and </w:t>
      </w:r>
      <w:proofErr w:type="spellStart"/>
      <w:r w:rsidRPr="00724947">
        <w:rPr>
          <w:i/>
        </w:rPr>
        <w:t>Heuston</w:t>
      </w:r>
      <w:proofErr w:type="spellEnd"/>
      <w:r w:rsidRPr="00724947">
        <w:rPr>
          <w:i/>
        </w:rPr>
        <w:t xml:space="preserve">) v Secretary of State for Work and Pensions </w:t>
      </w:r>
      <w:r w:rsidRPr="00724947">
        <w:t>[2014] EWHC 2182 (Admin), against the Jobseekers (Back to Work Schemes) Act 2013 is still under appeal.</w:t>
      </w:r>
    </w:p>
  </w:footnote>
  <w:footnote w:id="77">
    <w:p w14:paraId="57BE53FD" w14:textId="44540F0B" w:rsidR="006322F1" w:rsidRPr="00724947" w:rsidRDefault="006322F1" w:rsidP="002A583D">
      <w:pPr>
        <w:pStyle w:val="FootnoteText"/>
        <w:ind w:left="142" w:hanging="142"/>
        <w:jc w:val="both"/>
      </w:pPr>
      <w:r w:rsidRPr="00724947">
        <w:rPr>
          <w:rStyle w:val="FootnoteReference"/>
        </w:rPr>
        <w:footnoteRef/>
      </w:r>
      <w:r w:rsidRPr="00724947">
        <w:t xml:space="preserve"> Some may speculate that this trend has also been prompted by the threat to the Human Rights Act 1998, but this is not for me to say.</w:t>
      </w:r>
    </w:p>
  </w:footnote>
  <w:footnote w:id="78">
    <w:p w14:paraId="0954406F" w14:textId="7B105C6A" w:rsidR="006322F1" w:rsidRPr="00724947" w:rsidRDefault="006322F1" w:rsidP="002A583D">
      <w:pPr>
        <w:pStyle w:val="FootnoteText"/>
        <w:ind w:left="142" w:hanging="142"/>
        <w:jc w:val="both"/>
        <w:rPr>
          <w:lang w:val="en-AU"/>
        </w:rPr>
      </w:pPr>
      <w:r w:rsidRPr="00724947">
        <w:rPr>
          <w:rStyle w:val="FootnoteReference"/>
        </w:rPr>
        <w:footnoteRef/>
      </w:r>
      <w:r w:rsidRPr="00724947">
        <w:t xml:space="preserve"> </w:t>
      </w:r>
      <w:r w:rsidRPr="00724947">
        <w:rPr>
          <w:lang w:val="en-AU"/>
        </w:rPr>
        <w:t>[2014] UKSC 20.</w:t>
      </w:r>
    </w:p>
  </w:footnote>
  <w:footnote w:id="79">
    <w:p w14:paraId="077A6E84" w14:textId="12CBD256" w:rsidR="006322F1" w:rsidRPr="00724947" w:rsidRDefault="006322F1" w:rsidP="002A583D">
      <w:pPr>
        <w:pStyle w:val="FootnoteText"/>
        <w:ind w:left="142" w:hanging="142"/>
        <w:jc w:val="both"/>
        <w:rPr>
          <w:i/>
        </w:rPr>
      </w:pPr>
      <w:r w:rsidRPr="00724947">
        <w:rPr>
          <w:rStyle w:val="FootnoteReference"/>
        </w:rPr>
        <w:footnoteRef/>
      </w:r>
      <w:r w:rsidRPr="00724947">
        <w:t xml:space="preserve"> See e.g. </w:t>
      </w:r>
      <w:r w:rsidRPr="00724947">
        <w:rPr>
          <w:i/>
        </w:rPr>
        <w:t>R (</w:t>
      </w:r>
      <w:proofErr w:type="spellStart"/>
      <w:r w:rsidRPr="00724947">
        <w:rPr>
          <w:i/>
        </w:rPr>
        <w:t>Bourgass</w:t>
      </w:r>
      <w:proofErr w:type="spellEnd"/>
      <w:r w:rsidRPr="00724947">
        <w:rPr>
          <w:i/>
        </w:rPr>
        <w:t xml:space="preserve">) Secretary of State for Justice </w:t>
      </w:r>
      <w:r w:rsidRPr="00724947">
        <w:t>[2015] UKSC 54.</w:t>
      </w:r>
      <w:r w:rsidRPr="00724947">
        <w:tab/>
      </w:r>
    </w:p>
  </w:footnote>
  <w:footnote w:id="80">
    <w:p w14:paraId="42A05B9E" w14:textId="77777777" w:rsidR="006322F1" w:rsidRPr="00724947" w:rsidRDefault="006322F1" w:rsidP="002A583D">
      <w:pPr>
        <w:pStyle w:val="FootnoteText"/>
        <w:ind w:left="142" w:hanging="142"/>
        <w:jc w:val="both"/>
      </w:pPr>
      <w:r w:rsidRPr="00724947">
        <w:rPr>
          <w:rStyle w:val="FootnoteReference"/>
        </w:rPr>
        <w:footnoteRef/>
      </w:r>
      <w:r w:rsidRPr="00724947">
        <w:t xml:space="preserve"> See Courts and Tribunals Judiciary, ‘Oaths’ (2015) &lt;</w:t>
      </w:r>
      <w:hyperlink w:history="1"/>
      <w:r w:rsidRPr="00724947">
        <w:t>http://www.judiciary.gov.uk/about-the-judiciary/oaths/&gt; accessed 9 August 2015.</w:t>
      </w:r>
    </w:p>
  </w:footnote>
  <w:footnote w:id="81">
    <w:p w14:paraId="0B050E39" w14:textId="5C9F9F40" w:rsidR="006322F1" w:rsidRPr="00222A1D" w:rsidRDefault="006322F1" w:rsidP="002A583D">
      <w:pPr>
        <w:pStyle w:val="FootnoteText"/>
        <w:ind w:left="142" w:hanging="142"/>
        <w:jc w:val="both"/>
      </w:pPr>
      <w:r w:rsidRPr="00724947">
        <w:rPr>
          <w:rStyle w:val="FootnoteReference"/>
        </w:rPr>
        <w:footnoteRef/>
      </w:r>
      <w:r w:rsidRPr="00724947">
        <w:t xml:space="preserve"> A phrase borrowed from Dominic Grieve, QC, MP, ‘</w:t>
      </w:r>
      <w:r w:rsidRPr="00724947">
        <w:rPr>
          <w:i/>
        </w:rPr>
        <w:t>Why Human Rights Should Matter to Conservatives’</w:t>
      </w:r>
      <w:r w:rsidRPr="00724947">
        <w:t xml:space="preserve"> (University College London, 3 December 2014).</w:t>
      </w:r>
      <w:r w:rsidRPr="00222A1D">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C6C60"/>
    <w:multiLevelType w:val="hybridMultilevel"/>
    <w:tmpl w:val="FB6E44DC"/>
    <w:lvl w:ilvl="0" w:tplc="2E027568">
      <w:start w:val="1"/>
      <w:numFmt w:val="decimal"/>
      <w:lvlText w:val="(%1)"/>
      <w:lvlJc w:val="left"/>
      <w:pPr>
        <w:ind w:left="1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80EDC">
      <w:start w:val="1"/>
      <w:numFmt w:val="decimal"/>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07C8C80">
      <w:start w:val="1"/>
      <w:numFmt w:val="lowerRoman"/>
      <w:lvlText w:val="%3"/>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D24EE90">
      <w:start w:val="1"/>
      <w:numFmt w:val="decimal"/>
      <w:lvlText w:val="%4"/>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552F620">
      <w:start w:val="1"/>
      <w:numFmt w:val="lowerLetter"/>
      <w:lvlText w:val="%5"/>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C006CB8">
      <w:start w:val="1"/>
      <w:numFmt w:val="lowerRoman"/>
      <w:lvlText w:val="%6"/>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066D5AC">
      <w:start w:val="1"/>
      <w:numFmt w:val="decimal"/>
      <w:lvlText w:val="%7"/>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C6343F98">
      <w:start w:val="1"/>
      <w:numFmt w:val="lowerLetter"/>
      <w:lvlText w:val="%8"/>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99A83EA">
      <w:start w:val="1"/>
      <w:numFmt w:val="lowerRoman"/>
      <w:lvlText w:val="%9"/>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544CCB"/>
    <w:multiLevelType w:val="hybridMultilevel"/>
    <w:tmpl w:val="1D20B638"/>
    <w:lvl w:ilvl="0" w:tplc="D69468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D90025"/>
    <w:multiLevelType w:val="multilevel"/>
    <w:tmpl w:val="848EB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0F758A"/>
    <w:multiLevelType w:val="multilevel"/>
    <w:tmpl w:val="FBD4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872846"/>
    <w:multiLevelType w:val="hybridMultilevel"/>
    <w:tmpl w:val="28E41566"/>
    <w:lvl w:ilvl="0" w:tplc="17B04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B42371"/>
    <w:multiLevelType w:val="multilevel"/>
    <w:tmpl w:val="AEF4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477814"/>
    <w:multiLevelType w:val="multilevel"/>
    <w:tmpl w:val="E712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D3A7C"/>
    <w:multiLevelType w:val="multilevel"/>
    <w:tmpl w:val="E98E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843413"/>
    <w:multiLevelType w:val="multilevel"/>
    <w:tmpl w:val="1378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9A3B9B"/>
    <w:multiLevelType w:val="multilevel"/>
    <w:tmpl w:val="C74E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BE2ABF"/>
    <w:multiLevelType w:val="multilevel"/>
    <w:tmpl w:val="3A7A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6A7A5B"/>
    <w:multiLevelType w:val="hybridMultilevel"/>
    <w:tmpl w:val="0C16FAD2"/>
    <w:lvl w:ilvl="0" w:tplc="F358FD02">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5975B90"/>
    <w:multiLevelType w:val="multilevel"/>
    <w:tmpl w:val="9E26B4E8"/>
    <w:numStyleLink w:val="ArticleSection"/>
  </w:abstractNum>
  <w:abstractNum w:abstractNumId="24" w15:restartNumberingAfterBreak="0">
    <w:nsid w:val="581D1881"/>
    <w:multiLevelType w:val="multilevel"/>
    <w:tmpl w:val="8FD4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330FF8"/>
    <w:multiLevelType w:val="multilevel"/>
    <w:tmpl w:val="BD20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1E1A1B"/>
    <w:multiLevelType w:val="hybridMultilevel"/>
    <w:tmpl w:val="6D887A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006F7D"/>
    <w:multiLevelType w:val="hybridMultilevel"/>
    <w:tmpl w:val="A13268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7B579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29" w15:restartNumberingAfterBreak="0">
    <w:nsid w:val="64277056"/>
    <w:multiLevelType w:val="hybridMultilevel"/>
    <w:tmpl w:val="60621DDE"/>
    <w:lvl w:ilvl="0" w:tplc="AA2E5A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60E42"/>
    <w:multiLevelType w:val="multilevel"/>
    <w:tmpl w:val="9E26B4E8"/>
    <w:numStyleLink w:val="ArticleSection"/>
  </w:abstractNum>
  <w:abstractNum w:abstractNumId="31" w15:restartNumberingAfterBreak="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9"/>
  </w:num>
  <w:num w:numId="2">
    <w:abstractNumId w:val="22"/>
  </w:num>
  <w:num w:numId="3">
    <w:abstractNumId w:val="12"/>
  </w:num>
  <w:num w:numId="4">
    <w:abstractNumId w:val="15"/>
  </w:num>
  <w:num w:numId="5">
    <w:abstractNumId w:val="31"/>
  </w:num>
  <w:num w:numId="6">
    <w:abstractNumId w:val="30"/>
  </w:num>
  <w:num w:numId="7">
    <w:abstractNumId w:val="28"/>
  </w:num>
  <w:num w:numId="8">
    <w:abstractNumId w:val="11"/>
  </w:num>
  <w:num w:numId="9">
    <w:abstractNumId w:val="2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27"/>
  </w:num>
  <w:num w:numId="22">
    <w:abstractNumId w:val="10"/>
  </w:num>
  <w:num w:numId="23">
    <w:abstractNumId w:val="25"/>
  </w:num>
  <w:num w:numId="24">
    <w:abstractNumId w:val="14"/>
  </w:num>
  <w:num w:numId="25">
    <w:abstractNumId w:val="24"/>
  </w:num>
  <w:num w:numId="26">
    <w:abstractNumId w:val="19"/>
  </w:num>
  <w:num w:numId="27">
    <w:abstractNumId w:val="18"/>
  </w:num>
  <w:num w:numId="28">
    <w:abstractNumId w:val="20"/>
  </w:num>
  <w:num w:numId="29">
    <w:abstractNumId w:val="21"/>
  </w:num>
  <w:num w:numId="30">
    <w:abstractNumId w:val="17"/>
  </w:num>
  <w:num w:numId="31">
    <w:abstractNumId w:val="1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09"/>
    <w:rsid w:val="00011B1F"/>
    <w:rsid w:val="0001229C"/>
    <w:rsid w:val="000163AB"/>
    <w:rsid w:val="000169F4"/>
    <w:rsid w:val="00042CEF"/>
    <w:rsid w:val="00046883"/>
    <w:rsid w:val="00046EDB"/>
    <w:rsid w:val="00051712"/>
    <w:rsid w:val="00056C32"/>
    <w:rsid w:val="000612DD"/>
    <w:rsid w:val="00071327"/>
    <w:rsid w:val="0008017F"/>
    <w:rsid w:val="00083313"/>
    <w:rsid w:val="00092454"/>
    <w:rsid w:val="0009363D"/>
    <w:rsid w:val="00095450"/>
    <w:rsid w:val="0009727E"/>
    <w:rsid w:val="000F306B"/>
    <w:rsid w:val="0011695B"/>
    <w:rsid w:val="00131B8D"/>
    <w:rsid w:val="00133809"/>
    <w:rsid w:val="0014771F"/>
    <w:rsid w:val="00151E92"/>
    <w:rsid w:val="00155FC5"/>
    <w:rsid w:val="00163071"/>
    <w:rsid w:val="001756B6"/>
    <w:rsid w:val="0018478A"/>
    <w:rsid w:val="0018715B"/>
    <w:rsid w:val="001A18A5"/>
    <w:rsid w:val="001C162F"/>
    <w:rsid w:val="001D01FA"/>
    <w:rsid w:val="001D6419"/>
    <w:rsid w:val="001E775D"/>
    <w:rsid w:val="001F082A"/>
    <w:rsid w:val="001F20DA"/>
    <w:rsid w:val="0020737C"/>
    <w:rsid w:val="002126AD"/>
    <w:rsid w:val="00222A1D"/>
    <w:rsid w:val="00230437"/>
    <w:rsid w:val="002362F4"/>
    <w:rsid w:val="00254952"/>
    <w:rsid w:val="00270456"/>
    <w:rsid w:val="002811AA"/>
    <w:rsid w:val="002A1502"/>
    <w:rsid w:val="002A52D3"/>
    <w:rsid w:val="002A583D"/>
    <w:rsid w:val="002B7768"/>
    <w:rsid w:val="002D6E9C"/>
    <w:rsid w:val="002F4BB7"/>
    <w:rsid w:val="002F5B75"/>
    <w:rsid w:val="0032076F"/>
    <w:rsid w:val="003317B6"/>
    <w:rsid w:val="00337D3A"/>
    <w:rsid w:val="0034654A"/>
    <w:rsid w:val="00356B5A"/>
    <w:rsid w:val="0036317A"/>
    <w:rsid w:val="003773E2"/>
    <w:rsid w:val="003B06A6"/>
    <w:rsid w:val="003B52CA"/>
    <w:rsid w:val="003C31DE"/>
    <w:rsid w:val="003C563B"/>
    <w:rsid w:val="003E767C"/>
    <w:rsid w:val="003F2629"/>
    <w:rsid w:val="003F2A6F"/>
    <w:rsid w:val="0040459A"/>
    <w:rsid w:val="00437C2D"/>
    <w:rsid w:val="0045167B"/>
    <w:rsid w:val="004553E3"/>
    <w:rsid w:val="00455813"/>
    <w:rsid w:val="00470779"/>
    <w:rsid w:val="00471600"/>
    <w:rsid w:val="00476DB7"/>
    <w:rsid w:val="0047726D"/>
    <w:rsid w:val="00484404"/>
    <w:rsid w:val="00493126"/>
    <w:rsid w:val="00495372"/>
    <w:rsid w:val="004D0378"/>
    <w:rsid w:val="00500E83"/>
    <w:rsid w:val="00505C3A"/>
    <w:rsid w:val="0052759C"/>
    <w:rsid w:val="00532BFB"/>
    <w:rsid w:val="00535728"/>
    <w:rsid w:val="005937D7"/>
    <w:rsid w:val="005C04ED"/>
    <w:rsid w:val="005C6553"/>
    <w:rsid w:val="005D566C"/>
    <w:rsid w:val="005E2A4D"/>
    <w:rsid w:val="005E4626"/>
    <w:rsid w:val="005F148E"/>
    <w:rsid w:val="006108B0"/>
    <w:rsid w:val="0061236B"/>
    <w:rsid w:val="00617E65"/>
    <w:rsid w:val="00624609"/>
    <w:rsid w:val="006322F1"/>
    <w:rsid w:val="00637764"/>
    <w:rsid w:val="00696175"/>
    <w:rsid w:val="006A78E8"/>
    <w:rsid w:val="006B4F92"/>
    <w:rsid w:val="006C381C"/>
    <w:rsid w:val="006D0312"/>
    <w:rsid w:val="007022DF"/>
    <w:rsid w:val="00702AFB"/>
    <w:rsid w:val="007146E4"/>
    <w:rsid w:val="00724947"/>
    <w:rsid w:val="00734036"/>
    <w:rsid w:val="00770809"/>
    <w:rsid w:val="00771595"/>
    <w:rsid w:val="007A1A5C"/>
    <w:rsid w:val="007A2B6A"/>
    <w:rsid w:val="007A3D3B"/>
    <w:rsid w:val="007F551A"/>
    <w:rsid w:val="007F7BD2"/>
    <w:rsid w:val="00827289"/>
    <w:rsid w:val="00827295"/>
    <w:rsid w:val="008560F6"/>
    <w:rsid w:val="008615BF"/>
    <w:rsid w:val="00863BE1"/>
    <w:rsid w:val="00865E3F"/>
    <w:rsid w:val="0088061B"/>
    <w:rsid w:val="00885F19"/>
    <w:rsid w:val="008A0766"/>
    <w:rsid w:val="008A7C31"/>
    <w:rsid w:val="008B2174"/>
    <w:rsid w:val="008C1E09"/>
    <w:rsid w:val="008C5E1A"/>
    <w:rsid w:val="008E1BC0"/>
    <w:rsid w:val="008E23EF"/>
    <w:rsid w:val="008E303B"/>
    <w:rsid w:val="008E3FFF"/>
    <w:rsid w:val="009049BE"/>
    <w:rsid w:val="009205C8"/>
    <w:rsid w:val="009306E7"/>
    <w:rsid w:val="00930E61"/>
    <w:rsid w:val="0095638E"/>
    <w:rsid w:val="009577DD"/>
    <w:rsid w:val="00986C68"/>
    <w:rsid w:val="00986CA9"/>
    <w:rsid w:val="009B3090"/>
    <w:rsid w:val="009B5993"/>
    <w:rsid w:val="009D1D9C"/>
    <w:rsid w:val="009D7226"/>
    <w:rsid w:val="009E1305"/>
    <w:rsid w:val="009F5F0A"/>
    <w:rsid w:val="00A00747"/>
    <w:rsid w:val="00A114EA"/>
    <w:rsid w:val="00A12C93"/>
    <w:rsid w:val="00A14E6C"/>
    <w:rsid w:val="00A15D94"/>
    <w:rsid w:val="00A16743"/>
    <w:rsid w:val="00A16AE3"/>
    <w:rsid w:val="00A2171E"/>
    <w:rsid w:val="00A2541D"/>
    <w:rsid w:val="00A31DD9"/>
    <w:rsid w:val="00A47C72"/>
    <w:rsid w:val="00A5423E"/>
    <w:rsid w:val="00A6066F"/>
    <w:rsid w:val="00A75E65"/>
    <w:rsid w:val="00A76EB1"/>
    <w:rsid w:val="00A92EEC"/>
    <w:rsid w:val="00AB074E"/>
    <w:rsid w:val="00AB2AC9"/>
    <w:rsid w:val="00AB5380"/>
    <w:rsid w:val="00AC08F7"/>
    <w:rsid w:val="00AD4745"/>
    <w:rsid w:val="00AE3FBD"/>
    <w:rsid w:val="00AE710C"/>
    <w:rsid w:val="00AF3D06"/>
    <w:rsid w:val="00B1376C"/>
    <w:rsid w:val="00B51892"/>
    <w:rsid w:val="00B937D5"/>
    <w:rsid w:val="00BB0E39"/>
    <w:rsid w:val="00BE6075"/>
    <w:rsid w:val="00C21DC3"/>
    <w:rsid w:val="00C249AD"/>
    <w:rsid w:val="00C36E49"/>
    <w:rsid w:val="00C544A3"/>
    <w:rsid w:val="00C656DD"/>
    <w:rsid w:val="00C72348"/>
    <w:rsid w:val="00CB14D1"/>
    <w:rsid w:val="00CD3B84"/>
    <w:rsid w:val="00D12678"/>
    <w:rsid w:val="00D24407"/>
    <w:rsid w:val="00D26F34"/>
    <w:rsid w:val="00D349C6"/>
    <w:rsid w:val="00D52057"/>
    <w:rsid w:val="00D524BE"/>
    <w:rsid w:val="00D65EEE"/>
    <w:rsid w:val="00D67B90"/>
    <w:rsid w:val="00D74271"/>
    <w:rsid w:val="00D86F2E"/>
    <w:rsid w:val="00D91410"/>
    <w:rsid w:val="00DA0AE9"/>
    <w:rsid w:val="00DB7F69"/>
    <w:rsid w:val="00DD1771"/>
    <w:rsid w:val="00DF7EF4"/>
    <w:rsid w:val="00E04BC0"/>
    <w:rsid w:val="00E22335"/>
    <w:rsid w:val="00E251C1"/>
    <w:rsid w:val="00E442BB"/>
    <w:rsid w:val="00E46D56"/>
    <w:rsid w:val="00E517B3"/>
    <w:rsid w:val="00E62AFC"/>
    <w:rsid w:val="00E653AD"/>
    <w:rsid w:val="00E8002B"/>
    <w:rsid w:val="00E84BB9"/>
    <w:rsid w:val="00EA5CE3"/>
    <w:rsid w:val="00EB6109"/>
    <w:rsid w:val="00ED3D4A"/>
    <w:rsid w:val="00EE6178"/>
    <w:rsid w:val="00EF73AF"/>
    <w:rsid w:val="00EF75BA"/>
    <w:rsid w:val="00F121CF"/>
    <w:rsid w:val="00F34130"/>
    <w:rsid w:val="00F531CB"/>
    <w:rsid w:val="00F84B2A"/>
    <w:rsid w:val="00F8574C"/>
    <w:rsid w:val="00F95C5A"/>
    <w:rsid w:val="00F9622D"/>
    <w:rsid w:val="00FA4775"/>
    <w:rsid w:val="00FA7F3F"/>
    <w:rsid w:val="00FB4C5B"/>
    <w:rsid w:val="00FC3F57"/>
    <w:rsid w:val="00FE3F9C"/>
    <w:rsid w:val="00FE7839"/>
    <w:rsid w:val="00FF0C44"/>
    <w:rsid w:val="00FF4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0E03"/>
  <w15:docId w15:val="{065C66AA-8B58-4CA4-A736-C2662254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3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37C2D"/>
    <w:pPr>
      <w:keepNext/>
      <w:numPr>
        <w:numId w:val="7"/>
      </w:numPr>
      <w:spacing w:before="240" w:after="60"/>
      <w:ind w:left="0" w:firstLine="0"/>
      <w:outlineLvl w:val="0"/>
    </w:pPr>
    <w:rPr>
      <w:rFonts w:ascii="Arial" w:eastAsia="MS Mincho" w:hAnsi="Arial" w:cs="Arial"/>
      <w:b/>
      <w:bCs/>
      <w:kern w:val="32"/>
      <w:sz w:val="32"/>
      <w:szCs w:val="32"/>
      <w:lang w:val="en-US" w:eastAsia="ja-JP"/>
    </w:rPr>
  </w:style>
  <w:style w:type="paragraph" w:styleId="Heading2">
    <w:name w:val="heading 2"/>
    <w:basedOn w:val="Normal"/>
    <w:next w:val="Normal"/>
    <w:link w:val="Heading2Char"/>
    <w:uiPriority w:val="9"/>
    <w:qFormat/>
    <w:rsid w:val="00437C2D"/>
    <w:pPr>
      <w:keepNext/>
      <w:numPr>
        <w:ilvl w:val="1"/>
        <w:numId w:val="7"/>
      </w:numPr>
      <w:tabs>
        <w:tab w:val="clear" w:pos="720"/>
      </w:tabs>
      <w:spacing w:before="240" w:after="60"/>
      <w:ind w:left="0" w:firstLine="0"/>
      <w:outlineLvl w:val="1"/>
    </w:pPr>
    <w:rPr>
      <w:rFonts w:ascii="Arial" w:eastAsia="MS Mincho" w:hAnsi="Arial" w:cs="Arial"/>
      <w:b/>
      <w:bCs/>
      <w:i/>
      <w:iCs/>
      <w:sz w:val="28"/>
      <w:szCs w:val="28"/>
      <w:lang w:val="en-US" w:eastAsia="ja-JP"/>
    </w:rPr>
  </w:style>
  <w:style w:type="paragraph" w:styleId="Heading3">
    <w:name w:val="heading 3"/>
    <w:basedOn w:val="Normal"/>
    <w:next w:val="Normal"/>
    <w:link w:val="Heading3Char"/>
    <w:uiPriority w:val="9"/>
    <w:qFormat/>
    <w:rsid w:val="00437C2D"/>
    <w:pPr>
      <w:keepNext/>
      <w:numPr>
        <w:ilvl w:val="2"/>
        <w:numId w:val="7"/>
      </w:numPr>
      <w:spacing w:before="240" w:after="60"/>
      <w:ind w:hanging="432"/>
      <w:outlineLvl w:val="2"/>
    </w:pPr>
    <w:rPr>
      <w:rFonts w:ascii="Arial" w:eastAsia="MS Mincho" w:hAnsi="Arial" w:cs="Arial"/>
      <w:b/>
      <w:bCs/>
      <w:sz w:val="26"/>
      <w:szCs w:val="26"/>
      <w:lang w:val="en-US" w:eastAsia="ja-JP"/>
    </w:rPr>
  </w:style>
  <w:style w:type="paragraph" w:styleId="Heading4">
    <w:name w:val="heading 4"/>
    <w:basedOn w:val="Normal"/>
    <w:next w:val="Normal"/>
    <w:link w:val="Heading4Char"/>
    <w:uiPriority w:val="9"/>
    <w:semiHidden/>
    <w:unhideWhenUsed/>
    <w:qFormat/>
    <w:rsid w:val="00437C2D"/>
    <w:pPr>
      <w:keepNext/>
      <w:numPr>
        <w:ilvl w:val="3"/>
        <w:numId w:val="7"/>
      </w:numPr>
      <w:spacing w:before="240" w:after="60"/>
      <w:ind w:left="864" w:hanging="144"/>
      <w:outlineLvl w:val="3"/>
    </w:pPr>
    <w:rPr>
      <w:rFonts w:eastAsia="MS Mincho"/>
      <w:b/>
      <w:bCs/>
      <w:sz w:val="28"/>
      <w:szCs w:val="28"/>
      <w:lang w:val="en-US" w:eastAsia="ja-JP"/>
    </w:rPr>
  </w:style>
  <w:style w:type="paragraph" w:styleId="Heading5">
    <w:name w:val="heading 5"/>
    <w:basedOn w:val="Normal"/>
    <w:next w:val="Normal"/>
    <w:link w:val="Heading5Char"/>
    <w:uiPriority w:val="9"/>
    <w:semiHidden/>
    <w:unhideWhenUsed/>
    <w:qFormat/>
    <w:rsid w:val="00437C2D"/>
    <w:pPr>
      <w:numPr>
        <w:ilvl w:val="4"/>
        <w:numId w:val="7"/>
      </w:numPr>
      <w:spacing w:before="240" w:after="60"/>
      <w:ind w:left="1008" w:hanging="432"/>
      <w:outlineLvl w:val="4"/>
    </w:pPr>
    <w:rPr>
      <w:rFonts w:eastAsia="MS Mincho"/>
      <w:b/>
      <w:bCs/>
      <w:i/>
      <w:iCs/>
      <w:sz w:val="26"/>
      <w:szCs w:val="26"/>
      <w:lang w:val="en-US" w:eastAsia="ja-JP"/>
    </w:rPr>
  </w:style>
  <w:style w:type="paragraph" w:styleId="Heading6">
    <w:name w:val="heading 6"/>
    <w:basedOn w:val="Normal"/>
    <w:next w:val="Normal"/>
    <w:link w:val="Heading6Char"/>
    <w:uiPriority w:val="9"/>
    <w:semiHidden/>
    <w:unhideWhenUsed/>
    <w:qFormat/>
    <w:rsid w:val="00437C2D"/>
    <w:pPr>
      <w:numPr>
        <w:ilvl w:val="5"/>
        <w:numId w:val="7"/>
      </w:numPr>
      <w:spacing w:before="240" w:after="60"/>
      <w:ind w:left="1152" w:hanging="432"/>
      <w:outlineLvl w:val="5"/>
    </w:pPr>
    <w:rPr>
      <w:rFonts w:eastAsia="MS Mincho"/>
      <w:b/>
      <w:bCs/>
      <w:sz w:val="22"/>
      <w:szCs w:val="22"/>
      <w:lang w:val="en-US" w:eastAsia="ja-JP"/>
    </w:rPr>
  </w:style>
  <w:style w:type="paragraph" w:styleId="Heading7">
    <w:name w:val="heading 7"/>
    <w:basedOn w:val="Normal"/>
    <w:next w:val="Normal"/>
    <w:link w:val="Heading7Char"/>
    <w:uiPriority w:val="9"/>
    <w:semiHidden/>
    <w:unhideWhenUsed/>
    <w:qFormat/>
    <w:rsid w:val="00437C2D"/>
    <w:pPr>
      <w:numPr>
        <w:ilvl w:val="6"/>
        <w:numId w:val="7"/>
      </w:numPr>
      <w:spacing w:before="240" w:after="60"/>
      <w:ind w:left="1296" w:hanging="288"/>
      <w:outlineLvl w:val="6"/>
    </w:pPr>
    <w:rPr>
      <w:rFonts w:eastAsia="MS Mincho"/>
      <w:lang w:val="en-US" w:eastAsia="ja-JP"/>
    </w:rPr>
  </w:style>
  <w:style w:type="paragraph" w:styleId="Heading8">
    <w:name w:val="heading 8"/>
    <w:basedOn w:val="Normal"/>
    <w:next w:val="Normal"/>
    <w:link w:val="Heading8Char"/>
    <w:uiPriority w:val="9"/>
    <w:semiHidden/>
    <w:unhideWhenUsed/>
    <w:qFormat/>
    <w:rsid w:val="00437C2D"/>
    <w:pPr>
      <w:numPr>
        <w:ilvl w:val="7"/>
        <w:numId w:val="7"/>
      </w:numPr>
      <w:spacing w:before="240" w:after="60"/>
      <w:ind w:left="1440" w:hanging="432"/>
      <w:outlineLvl w:val="7"/>
    </w:pPr>
    <w:rPr>
      <w:rFonts w:eastAsia="MS Mincho"/>
      <w:i/>
      <w:iCs/>
      <w:lang w:val="en-US" w:eastAsia="ja-JP"/>
    </w:rPr>
  </w:style>
  <w:style w:type="paragraph" w:styleId="Heading9">
    <w:name w:val="heading 9"/>
    <w:basedOn w:val="Normal"/>
    <w:next w:val="Normal"/>
    <w:link w:val="Heading9Char"/>
    <w:uiPriority w:val="9"/>
    <w:semiHidden/>
    <w:unhideWhenUsed/>
    <w:qFormat/>
    <w:rsid w:val="00437C2D"/>
    <w:pPr>
      <w:numPr>
        <w:ilvl w:val="8"/>
        <w:numId w:val="7"/>
      </w:numPr>
      <w:spacing w:before="240" w:after="60"/>
      <w:ind w:left="1584" w:hanging="144"/>
      <w:outlineLvl w:val="8"/>
    </w:pPr>
    <w:rPr>
      <w:rFonts w:ascii="Arial" w:eastAsia="MS Mincho" w:hAnsi="Arial" w:cs="Arial"/>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809"/>
    <w:pPr>
      <w:spacing w:after="0" w:line="240" w:lineRule="auto"/>
    </w:pPr>
  </w:style>
  <w:style w:type="paragraph" w:styleId="Header">
    <w:name w:val="header"/>
    <w:basedOn w:val="Normal"/>
    <w:link w:val="HeaderChar"/>
    <w:uiPriority w:val="99"/>
    <w:unhideWhenUsed/>
    <w:rsid w:val="00437C2D"/>
    <w:pPr>
      <w:tabs>
        <w:tab w:val="center" w:pos="4513"/>
        <w:tab w:val="right" w:pos="9026"/>
      </w:tabs>
    </w:pPr>
  </w:style>
  <w:style w:type="character" w:customStyle="1" w:styleId="HeaderChar">
    <w:name w:val="Header Char"/>
    <w:basedOn w:val="DefaultParagraphFont"/>
    <w:link w:val="Header"/>
    <w:uiPriority w:val="99"/>
    <w:rsid w:val="000163A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37C2D"/>
    <w:pPr>
      <w:tabs>
        <w:tab w:val="center" w:pos="4513"/>
        <w:tab w:val="right" w:pos="9026"/>
      </w:tabs>
    </w:pPr>
  </w:style>
  <w:style w:type="character" w:customStyle="1" w:styleId="FooterChar">
    <w:name w:val="Footer Char"/>
    <w:basedOn w:val="DefaultParagraphFont"/>
    <w:link w:val="Footer"/>
    <w:uiPriority w:val="99"/>
    <w:rsid w:val="000163AB"/>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rsid w:val="00437C2D"/>
    <w:rPr>
      <w:sz w:val="20"/>
      <w:szCs w:val="20"/>
    </w:rPr>
  </w:style>
  <w:style w:type="character" w:customStyle="1" w:styleId="FootnoteTextChar">
    <w:name w:val="Footnote Text Char"/>
    <w:basedOn w:val="DefaultParagraphFont"/>
    <w:link w:val="FootnoteText"/>
    <w:uiPriority w:val="99"/>
    <w:rsid w:val="000163AB"/>
    <w:rPr>
      <w:rFonts w:ascii="Times New Roman" w:eastAsia="Times New Roman" w:hAnsi="Times New Roman" w:cs="Times New Roman"/>
      <w:sz w:val="20"/>
      <w:szCs w:val="20"/>
      <w:lang w:eastAsia="en-GB"/>
    </w:rPr>
  </w:style>
  <w:style w:type="character" w:styleId="FootnoteReference">
    <w:name w:val="footnote reference"/>
    <w:uiPriority w:val="99"/>
    <w:rsid w:val="00437C2D"/>
    <w:rPr>
      <w:vertAlign w:val="superscript"/>
    </w:rPr>
  </w:style>
  <w:style w:type="paragraph" w:styleId="ListParagraph">
    <w:name w:val="List Paragraph"/>
    <w:basedOn w:val="Normal"/>
    <w:uiPriority w:val="34"/>
    <w:qFormat/>
    <w:rsid w:val="00471600"/>
    <w:pPr>
      <w:ind w:left="720"/>
      <w:contextualSpacing/>
    </w:pPr>
  </w:style>
  <w:style w:type="paragraph" w:styleId="BalloonText">
    <w:name w:val="Balloon Text"/>
    <w:basedOn w:val="Normal"/>
    <w:link w:val="BalloonTextChar"/>
    <w:uiPriority w:val="99"/>
    <w:semiHidden/>
    <w:unhideWhenUsed/>
    <w:rsid w:val="00437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3F"/>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3C563B"/>
    <w:rPr>
      <w:rFonts w:ascii="Arial" w:eastAsia="MS Mincho" w:hAnsi="Arial" w:cs="Arial"/>
      <w:b/>
      <w:bCs/>
      <w:kern w:val="32"/>
      <w:sz w:val="32"/>
      <w:szCs w:val="32"/>
      <w:lang w:val="en-US" w:eastAsia="ja-JP"/>
    </w:rPr>
  </w:style>
  <w:style w:type="character" w:customStyle="1" w:styleId="Heading2Char">
    <w:name w:val="Heading 2 Char"/>
    <w:basedOn w:val="DefaultParagraphFont"/>
    <w:link w:val="Heading2"/>
    <w:uiPriority w:val="9"/>
    <w:rsid w:val="003C563B"/>
    <w:rPr>
      <w:rFonts w:ascii="Arial" w:eastAsia="MS Mincho" w:hAnsi="Arial" w:cs="Arial"/>
      <w:b/>
      <w:bCs/>
      <w:i/>
      <w:iCs/>
      <w:sz w:val="28"/>
      <w:szCs w:val="28"/>
      <w:lang w:val="en-US" w:eastAsia="ja-JP"/>
    </w:rPr>
  </w:style>
  <w:style w:type="character" w:customStyle="1" w:styleId="Heading3Char">
    <w:name w:val="Heading 3 Char"/>
    <w:basedOn w:val="DefaultParagraphFont"/>
    <w:link w:val="Heading3"/>
    <w:uiPriority w:val="9"/>
    <w:rsid w:val="003C563B"/>
    <w:rPr>
      <w:rFonts w:ascii="Arial" w:eastAsia="MS Mincho" w:hAnsi="Arial" w:cs="Arial"/>
      <w:b/>
      <w:bCs/>
      <w:sz w:val="26"/>
      <w:szCs w:val="26"/>
      <w:lang w:val="en-US" w:eastAsia="ja-JP"/>
    </w:rPr>
  </w:style>
  <w:style w:type="character" w:customStyle="1" w:styleId="Heading4Char">
    <w:name w:val="Heading 4 Char"/>
    <w:basedOn w:val="DefaultParagraphFont"/>
    <w:link w:val="Heading4"/>
    <w:uiPriority w:val="9"/>
    <w:semiHidden/>
    <w:rsid w:val="003C563B"/>
    <w:rPr>
      <w:rFonts w:ascii="Times New Roman" w:eastAsia="MS Mincho" w:hAnsi="Times New Roman" w:cs="Times New Roman"/>
      <w:b/>
      <w:bCs/>
      <w:sz w:val="28"/>
      <w:szCs w:val="28"/>
      <w:lang w:val="en-US" w:eastAsia="ja-JP"/>
    </w:rPr>
  </w:style>
  <w:style w:type="character" w:customStyle="1" w:styleId="Heading5Char">
    <w:name w:val="Heading 5 Char"/>
    <w:basedOn w:val="DefaultParagraphFont"/>
    <w:link w:val="Heading5"/>
    <w:uiPriority w:val="9"/>
    <w:semiHidden/>
    <w:rsid w:val="003C563B"/>
    <w:rPr>
      <w:rFonts w:ascii="Times New Roman" w:eastAsia="MS Mincho" w:hAnsi="Times New Roman" w:cs="Times New Roman"/>
      <w:b/>
      <w:bCs/>
      <w:i/>
      <w:iCs/>
      <w:sz w:val="26"/>
      <w:szCs w:val="26"/>
      <w:lang w:val="en-US" w:eastAsia="ja-JP"/>
    </w:rPr>
  </w:style>
  <w:style w:type="character" w:customStyle="1" w:styleId="Heading6Char">
    <w:name w:val="Heading 6 Char"/>
    <w:basedOn w:val="DefaultParagraphFont"/>
    <w:link w:val="Heading6"/>
    <w:uiPriority w:val="9"/>
    <w:semiHidden/>
    <w:rsid w:val="003C563B"/>
    <w:rPr>
      <w:rFonts w:ascii="Times New Roman" w:eastAsia="MS Mincho" w:hAnsi="Times New Roman" w:cs="Times New Roman"/>
      <w:b/>
      <w:bCs/>
      <w:lang w:val="en-US" w:eastAsia="ja-JP"/>
    </w:rPr>
  </w:style>
  <w:style w:type="character" w:customStyle="1" w:styleId="Heading7Char">
    <w:name w:val="Heading 7 Char"/>
    <w:basedOn w:val="DefaultParagraphFont"/>
    <w:link w:val="Heading7"/>
    <w:uiPriority w:val="9"/>
    <w:semiHidden/>
    <w:rsid w:val="003C563B"/>
    <w:rPr>
      <w:rFonts w:ascii="Times New Roman" w:eastAsia="MS Mincho" w:hAnsi="Times New Roman" w:cs="Times New Roman"/>
      <w:sz w:val="24"/>
      <w:szCs w:val="24"/>
      <w:lang w:val="en-US" w:eastAsia="ja-JP"/>
    </w:rPr>
  </w:style>
  <w:style w:type="character" w:customStyle="1" w:styleId="Heading8Char">
    <w:name w:val="Heading 8 Char"/>
    <w:basedOn w:val="DefaultParagraphFont"/>
    <w:link w:val="Heading8"/>
    <w:uiPriority w:val="9"/>
    <w:semiHidden/>
    <w:rsid w:val="003C563B"/>
    <w:rPr>
      <w:rFonts w:ascii="Times New Roman" w:eastAsia="MS Mincho" w:hAnsi="Times New Roman" w:cs="Times New Roman"/>
      <w:i/>
      <w:iCs/>
      <w:sz w:val="24"/>
      <w:szCs w:val="24"/>
      <w:lang w:val="en-US" w:eastAsia="ja-JP"/>
    </w:rPr>
  </w:style>
  <w:style w:type="character" w:customStyle="1" w:styleId="Heading9Char">
    <w:name w:val="Heading 9 Char"/>
    <w:basedOn w:val="DefaultParagraphFont"/>
    <w:link w:val="Heading9"/>
    <w:uiPriority w:val="9"/>
    <w:semiHidden/>
    <w:rsid w:val="003C563B"/>
    <w:rPr>
      <w:rFonts w:ascii="Arial" w:eastAsia="MS Mincho" w:hAnsi="Arial" w:cs="Arial"/>
      <w:lang w:val="en-US" w:eastAsia="ja-JP"/>
    </w:rPr>
  </w:style>
  <w:style w:type="numbering" w:styleId="111111">
    <w:name w:val="Outline List 2"/>
    <w:basedOn w:val="NoList"/>
    <w:rsid w:val="003C563B"/>
    <w:pPr>
      <w:numPr>
        <w:numId w:val="5"/>
      </w:numPr>
    </w:pPr>
  </w:style>
  <w:style w:type="numbering" w:styleId="1ai">
    <w:name w:val="Outline List 1"/>
    <w:basedOn w:val="NoList"/>
    <w:rsid w:val="003C563B"/>
    <w:pPr>
      <w:numPr>
        <w:numId w:val="7"/>
      </w:numPr>
    </w:pPr>
  </w:style>
  <w:style w:type="numbering" w:styleId="ArticleSection">
    <w:name w:val="Outline List 3"/>
    <w:basedOn w:val="NoList"/>
    <w:rsid w:val="003C563B"/>
    <w:pPr>
      <w:numPr>
        <w:numId w:val="8"/>
      </w:numPr>
    </w:pPr>
  </w:style>
  <w:style w:type="paragraph" w:styleId="BlockText">
    <w:name w:val="Block Text"/>
    <w:basedOn w:val="Normal"/>
    <w:uiPriority w:val="99"/>
    <w:semiHidden/>
    <w:unhideWhenUsed/>
    <w:qFormat/>
    <w:rsid w:val="003C563B"/>
    <w:pPr>
      <w:spacing w:after="120"/>
      <w:ind w:left="1440" w:right="1440"/>
    </w:pPr>
    <w:rPr>
      <w:rFonts w:eastAsia="MS Mincho"/>
      <w:lang w:val="en-US" w:eastAsia="ja-JP"/>
    </w:rPr>
  </w:style>
  <w:style w:type="paragraph" w:styleId="BodyText">
    <w:name w:val="Body Text"/>
    <w:basedOn w:val="Normal"/>
    <w:link w:val="BodyTextChar"/>
    <w:uiPriority w:val="99"/>
    <w:semiHidden/>
    <w:unhideWhenUsed/>
    <w:rsid w:val="003C563B"/>
    <w:pPr>
      <w:spacing w:after="120"/>
    </w:pPr>
    <w:rPr>
      <w:rFonts w:eastAsia="MS Mincho"/>
      <w:lang w:val="en-US" w:eastAsia="ja-JP"/>
    </w:rPr>
  </w:style>
  <w:style w:type="character" w:customStyle="1" w:styleId="BodyTextChar">
    <w:name w:val="Body Text Char"/>
    <w:basedOn w:val="DefaultParagraphFont"/>
    <w:link w:val="BodyText"/>
    <w:uiPriority w:val="99"/>
    <w:semiHidden/>
    <w:rsid w:val="003C563B"/>
    <w:rPr>
      <w:rFonts w:ascii="Times New Roman" w:eastAsia="MS Mincho" w:hAnsi="Times New Roman" w:cs="Times New Roman"/>
      <w:sz w:val="24"/>
      <w:szCs w:val="24"/>
      <w:lang w:val="en-US" w:eastAsia="ja-JP"/>
    </w:rPr>
  </w:style>
  <w:style w:type="paragraph" w:styleId="BodyText2">
    <w:name w:val="Body Text 2"/>
    <w:basedOn w:val="Normal"/>
    <w:link w:val="BodyText2Char"/>
    <w:uiPriority w:val="99"/>
    <w:semiHidden/>
    <w:unhideWhenUsed/>
    <w:rsid w:val="003C563B"/>
    <w:pPr>
      <w:spacing w:after="120" w:line="480" w:lineRule="auto"/>
    </w:pPr>
    <w:rPr>
      <w:rFonts w:eastAsia="MS Mincho"/>
      <w:lang w:val="en-US" w:eastAsia="ja-JP"/>
    </w:rPr>
  </w:style>
  <w:style w:type="character" w:customStyle="1" w:styleId="BodyText2Char">
    <w:name w:val="Body Text 2 Char"/>
    <w:basedOn w:val="DefaultParagraphFont"/>
    <w:link w:val="BodyText2"/>
    <w:uiPriority w:val="99"/>
    <w:semiHidden/>
    <w:rsid w:val="003C563B"/>
    <w:rPr>
      <w:rFonts w:ascii="Times New Roman" w:eastAsia="MS Mincho" w:hAnsi="Times New Roman" w:cs="Times New Roman"/>
      <w:sz w:val="24"/>
      <w:szCs w:val="24"/>
      <w:lang w:val="en-US" w:eastAsia="ja-JP"/>
    </w:rPr>
  </w:style>
  <w:style w:type="paragraph" w:styleId="BodyText3">
    <w:name w:val="Body Text 3"/>
    <w:basedOn w:val="Normal"/>
    <w:link w:val="BodyText3Char"/>
    <w:uiPriority w:val="99"/>
    <w:semiHidden/>
    <w:unhideWhenUsed/>
    <w:rsid w:val="003C563B"/>
    <w:pPr>
      <w:spacing w:after="120"/>
    </w:pPr>
    <w:rPr>
      <w:rFonts w:eastAsia="MS Mincho"/>
      <w:sz w:val="16"/>
      <w:szCs w:val="16"/>
      <w:lang w:val="en-US" w:eastAsia="ja-JP"/>
    </w:rPr>
  </w:style>
  <w:style w:type="character" w:customStyle="1" w:styleId="BodyText3Char">
    <w:name w:val="Body Text 3 Char"/>
    <w:basedOn w:val="DefaultParagraphFont"/>
    <w:link w:val="BodyText3"/>
    <w:uiPriority w:val="99"/>
    <w:semiHidden/>
    <w:rsid w:val="003C563B"/>
    <w:rPr>
      <w:rFonts w:ascii="Times New Roman" w:eastAsia="MS Mincho" w:hAnsi="Times New Roman" w:cs="Times New Roman"/>
      <w:sz w:val="16"/>
      <w:szCs w:val="16"/>
      <w:lang w:val="en-US" w:eastAsia="ja-JP"/>
    </w:rPr>
  </w:style>
  <w:style w:type="paragraph" w:styleId="BodyTextFirstIndent">
    <w:name w:val="Body Text First Indent"/>
    <w:basedOn w:val="BodyText"/>
    <w:link w:val="BodyTextFirstIndentChar"/>
    <w:uiPriority w:val="99"/>
    <w:semiHidden/>
    <w:unhideWhenUsed/>
    <w:rsid w:val="003C563B"/>
    <w:pPr>
      <w:ind w:firstLine="210"/>
    </w:pPr>
  </w:style>
  <w:style w:type="character" w:customStyle="1" w:styleId="BodyTextFirstIndentChar">
    <w:name w:val="Body Text First Indent Char"/>
    <w:basedOn w:val="BodyTextChar"/>
    <w:link w:val="BodyTextFirstIndent"/>
    <w:uiPriority w:val="99"/>
    <w:semiHidden/>
    <w:rsid w:val="003C563B"/>
    <w:rPr>
      <w:rFonts w:ascii="Times New Roman" w:eastAsia="MS Mincho" w:hAnsi="Times New Roman" w:cs="Times New Roman"/>
      <w:sz w:val="24"/>
      <w:szCs w:val="24"/>
      <w:lang w:val="en-US" w:eastAsia="ja-JP"/>
    </w:rPr>
  </w:style>
  <w:style w:type="paragraph" w:styleId="BodyTextIndent">
    <w:name w:val="Body Text Indent"/>
    <w:basedOn w:val="Normal"/>
    <w:link w:val="BodyTextIndentChar"/>
    <w:uiPriority w:val="99"/>
    <w:semiHidden/>
    <w:unhideWhenUsed/>
    <w:rsid w:val="003C563B"/>
    <w:pPr>
      <w:spacing w:after="120"/>
      <w:ind w:left="360"/>
    </w:pPr>
    <w:rPr>
      <w:rFonts w:eastAsia="MS Mincho"/>
      <w:lang w:val="en-US" w:eastAsia="ja-JP"/>
    </w:rPr>
  </w:style>
  <w:style w:type="character" w:customStyle="1" w:styleId="BodyTextIndentChar">
    <w:name w:val="Body Text Indent Char"/>
    <w:basedOn w:val="DefaultParagraphFont"/>
    <w:link w:val="BodyTextIndent"/>
    <w:uiPriority w:val="99"/>
    <w:semiHidden/>
    <w:rsid w:val="003C563B"/>
    <w:rPr>
      <w:rFonts w:ascii="Times New Roman" w:eastAsia="MS Mincho" w:hAnsi="Times New Roman" w:cs="Times New Roman"/>
      <w:sz w:val="24"/>
      <w:szCs w:val="24"/>
      <w:lang w:val="en-US" w:eastAsia="ja-JP"/>
    </w:rPr>
  </w:style>
  <w:style w:type="paragraph" w:styleId="BodyTextFirstIndent2">
    <w:name w:val="Body Text First Indent 2"/>
    <w:basedOn w:val="BodyTextIndent"/>
    <w:link w:val="BodyTextFirstIndent2Char"/>
    <w:uiPriority w:val="99"/>
    <w:semiHidden/>
    <w:unhideWhenUsed/>
    <w:rsid w:val="003C563B"/>
    <w:pPr>
      <w:ind w:firstLine="210"/>
    </w:pPr>
  </w:style>
  <w:style w:type="character" w:customStyle="1" w:styleId="BodyTextFirstIndent2Char">
    <w:name w:val="Body Text First Indent 2 Char"/>
    <w:basedOn w:val="BodyTextIndentChar"/>
    <w:link w:val="BodyTextFirstIndent2"/>
    <w:uiPriority w:val="99"/>
    <w:semiHidden/>
    <w:rsid w:val="003C563B"/>
    <w:rPr>
      <w:rFonts w:ascii="Times New Roman" w:eastAsia="MS Mincho" w:hAnsi="Times New Roman" w:cs="Times New Roman"/>
      <w:sz w:val="24"/>
      <w:szCs w:val="24"/>
      <w:lang w:val="en-US" w:eastAsia="ja-JP"/>
    </w:rPr>
  </w:style>
  <w:style w:type="paragraph" w:styleId="BodyTextIndent2">
    <w:name w:val="Body Text Indent 2"/>
    <w:basedOn w:val="Normal"/>
    <w:link w:val="BodyTextIndent2Char"/>
    <w:uiPriority w:val="99"/>
    <w:semiHidden/>
    <w:unhideWhenUsed/>
    <w:rsid w:val="003C563B"/>
    <w:pPr>
      <w:spacing w:after="120" w:line="480" w:lineRule="auto"/>
      <w:ind w:left="360"/>
    </w:pPr>
    <w:rPr>
      <w:rFonts w:eastAsia="MS Mincho"/>
      <w:lang w:val="en-US" w:eastAsia="ja-JP"/>
    </w:rPr>
  </w:style>
  <w:style w:type="character" w:customStyle="1" w:styleId="BodyTextIndent2Char">
    <w:name w:val="Body Text Indent 2 Char"/>
    <w:basedOn w:val="DefaultParagraphFont"/>
    <w:link w:val="BodyTextIndent2"/>
    <w:uiPriority w:val="99"/>
    <w:semiHidden/>
    <w:rsid w:val="003C563B"/>
    <w:rPr>
      <w:rFonts w:ascii="Times New Roman" w:eastAsia="MS Mincho" w:hAnsi="Times New Roman" w:cs="Times New Roman"/>
      <w:sz w:val="24"/>
      <w:szCs w:val="24"/>
      <w:lang w:val="en-US" w:eastAsia="ja-JP"/>
    </w:rPr>
  </w:style>
  <w:style w:type="paragraph" w:styleId="BodyTextIndent3">
    <w:name w:val="Body Text Indent 3"/>
    <w:basedOn w:val="Normal"/>
    <w:link w:val="BodyTextIndent3Char"/>
    <w:uiPriority w:val="99"/>
    <w:semiHidden/>
    <w:unhideWhenUsed/>
    <w:rsid w:val="003C563B"/>
    <w:pPr>
      <w:spacing w:after="120"/>
      <w:ind w:left="360"/>
    </w:pPr>
    <w:rPr>
      <w:rFonts w:eastAsia="MS Mincho"/>
      <w:sz w:val="16"/>
      <w:szCs w:val="16"/>
      <w:lang w:val="en-US" w:eastAsia="ja-JP"/>
    </w:rPr>
  </w:style>
  <w:style w:type="character" w:customStyle="1" w:styleId="BodyTextIndent3Char">
    <w:name w:val="Body Text Indent 3 Char"/>
    <w:basedOn w:val="DefaultParagraphFont"/>
    <w:link w:val="BodyTextIndent3"/>
    <w:uiPriority w:val="99"/>
    <w:semiHidden/>
    <w:rsid w:val="003C563B"/>
    <w:rPr>
      <w:rFonts w:ascii="Times New Roman" w:eastAsia="MS Mincho" w:hAnsi="Times New Roman" w:cs="Times New Roman"/>
      <w:sz w:val="16"/>
      <w:szCs w:val="16"/>
      <w:lang w:val="en-US" w:eastAsia="ja-JP"/>
    </w:rPr>
  </w:style>
  <w:style w:type="paragraph" w:styleId="Closing">
    <w:name w:val="Closing"/>
    <w:basedOn w:val="Normal"/>
    <w:link w:val="ClosingChar"/>
    <w:uiPriority w:val="99"/>
    <w:semiHidden/>
    <w:unhideWhenUsed/>
    <w:rsid w:val="003C563B"/>
    <w:pPr>
      <w:ind w:left="4320"/>
    </w:pPr>
    <w:rPr>
      <w:rFonts w:eastAsia="MS Mincho"/>
      <w:lang w:val="en-US" w:eastAsia="ja-JP"/>
    </w:rPr>
  </w:style>
  <w:style w:type="character" w:customStyle="1" w:styleId="ClosingChar">
    <w:name w:val="Closing Char"/>
    <w:basedOn w:val="DefaultParagraphFont"/>
    <w:link w:val="Closing"/>
    <w:uiPriority w:val="99"/>
    <w:semiHidden/>
    <w:rsid w:val="003C563B"/>
    <w:rPr>
      <w:rFonts w:ascii="Times New Roman" w:eastAsia="MS Mincho" w:hAnsi="Times New Roman" w:cs="Times New Roman"/>
      <w:sz w:val="24"/>
      <w:szCs w:val="24"/>
      <w:lang w:val="en-US" w:eastAsia="ja-JP"/>
    </w:rPr>
  </w:style>
  <w:style w:type="paragraph" w:styleId="Date">
    <w:name w:val="Date"/>
    <w:basedOn w:val="Normal"/>
    <w:next w:val="Normal"/>
    <w:link w:val="DateChar"/>
    <w:uiPriority w:val="99"/>
    <w:semiHidden/>
    <w:unhideWhenUsed/>
    <w:rsid w:val="003C563B"/>
    <w:rPr>
      <w:rFonts w:eastAsia="MS Mincho"/>
      <w:lang w:val="en-US" w:eastAsia="ja-JP"/>
    </w:rPr>
  </w:style>
  <w:style w:type="character" w:customStyle="1" w:styleId="DateChar">
    <w:name w:val="Date Char"/>
    <w:basedOn w:val="DefaultParagraphFont"/>
    <w:link w:val="Date"/>
    <w:uiPriority w:val="99"/>
    <w:semiHidden/>
    <w:rsid w:val="003C563B"/>
    <w:rPr>
      <w:rFonts w:ascii="Times New Roman" w:eastAsia="MS Mincho" w:hAnsi="Times New Roman" w:cs="Times New Roman"/>
      <w:sz w:val="24"/>
      <w:szCs w:val="24"/>
      <w:lang w:val="en-US" w:eastAsia="ja-JP"/>
    </w:rPr>
  </w:style>
  <w:style w:type="paragraph" w:styleId="E-mailSignature">
    <w:name w:val="E-mail Signature"/>
    <w:basedOn w:val="Normal"/>
    <w:link w:val="E-mailSignatureChar"/>
    <w:uiPriority w:val="99"/>
    <w:semiHidden/>
    <w:unhideWhenUsed/>
    <w:rsid w:val="003C563B"/>
    <w:rPr>
      <w:rFonts w:eastAsia="MS Mincho"/>
      <w:lang w:val="en-US" w:eastAsia="ja-JP"/>
    </w:rPr>
  </w:style>
  <w:style w:type="character" w:customStyle="1" w:styleId="E-mailSignatureChar">
    <w:name w:val="E-mail Signature Char"/>
    <w:basedOn w:val="DefaultParagraphFont"/>
    <w:link w:val="E-mailSignature"/>
    <w:uiPriority w:val="99"/>
    <w:semiHidden/>
    <w:rsid w:val="003C563B"/>
    <w:rPr>
      <w:rFonts w:ascii="Times New Roman" w:eastAsia="MS Mincho" w:hAnsi="Times New Roman" w:cs="Times New Roman"/>
      <w:sz w:val="24"/>
      <w:szCs w:val="24"/>
      <w:lang w:val="en-US" w:eastAsia="ja-JP"/>
    </w:rPr>
  </w:style>
  <w:style w:type="character" w:styleId="Emphasis">
    <w:name w:val="Emphasis"/>
    <w:basedOn w:val="DefaultParagraphFont"/>
    <w:uiPriority w:val="20"/>
    <w:qFormat/>
    <w:rsid w:val="003C563B"/>
    <w:rPr>
      <w:i/>
      <w:iCs/>
    </w:rPr>
  </w:style>
  <w:style w:type="paragraph" w:styleId="EnvelopeAddress">
    <w:name w:val="envelope address"/>
    <w:basedOn w:val="Normal"/>
    <w:uiPriority w:val="99"/>
    <w:semiHidden/>
    <w:unhideWhenUsed/>
    <w:rsid w:val="003C563B"/>
    <w:pPr>
      <w:framePr w:w="7920" w:h="1980" w:hRule="exact" w:hSpace="180" w:wrap="auto" w:hAnchor="page" w:xAlign="center" w:yAlign="bottom"/>
      <w:ind w:left="2880"/>
    </w:pPr>
    <w:rPr>
      <w:rFonts w:ascii="Arial" w:eastAsia="MS Mincho" w:hAnsi="Arial" w:cs="Arial"/>
      <w:lang w:val="en-US" w:eastAsia="ja-JP"/>
    </w:rPr>
  </w:style>
  <w:style w:type="paragraph" w:styleId="EnvelopeReturn">
    <w:name w:val="envelope return"/>
    <w:basedOn w:val="Normal"/>
    <w:uiPriority w:val="99"/>
    <w:semiHidden/>
    <w:unhideWhenUsed/>
    <w:rsid w:val="003C563B"/>
    <w:rPr>
      <w:rFonts w:ascii="Arial" w:eastAsia="MS Mincho" w:hAnsi="Arial" w:cs="Arial"/>
      <w:sz w:val="20"/>
      <w:szCs w:val="20"/>
      <w:lang w:val="en-US" w:eastAsia="ja-JP"/>
    </w:rPr>
  </w:style>
  <w:style w:type="character" w:styleId="FollowedHyperlink">
    <w:name w:val="FollowedHyperlink"/>
    <w:basedOn w:val="DefaultParagraphFont"/>
    <w:uiPriority w:val="99"/>
    <w:semiHidden/>
    <w:unhideWhenUsed/>
    <w:rsid w:val="003C563B"/>
    <w:rPr>
      <w:color w:val="800080"/>
      <w:u w:val="single"/>
    </w:rPr>
  </w:style>
  <w:style w:type="character" w:styleId="HTMLAcronym">
    <w:name w:val="HTML Acronym"/>
    <w:basedOn w:val="DefaultParagraphFont"/>
    <w:uiPriority w:val="99"/>
    <w:semiHidden/>
    <w:unhideWhenUsed/>
    <w:rsid w:val="003C563B"/>
  </w:style>
  <w:style w:type="paragraph" w:styleId="HTMLAddress">
    <w:name w:val="HTML Address"/>
    <w:basedOn w:val="Normal"/>
    <w:link w:val="HTMLAddressChar"/>
    <w:uiPriority w:val="99"/>
    <w:semiHidden/>
    <w:unhideWhenUsed/>
    <w:rsid w:val="003C563B"/>
    <w:rPr>
      <w:rFonts w:eastAsia="MS Mincho"/>
      <w:i/>
      <w:iCs/>
      <w:lang w:val="en-US" w:eastAsia="ja-JP"/>
    </w:rPr>
  </w:style>
  <w:style w:type="character" w:customStyle="1" w:styleId="HTMLAddressChar">
    <w:name w:val="HTML Address Char"/>
    <w:basedOn w:val="DefaultParagraphFont"/>
    <w:link w:val="HTMLAddress"/>
    <w:uiPriority w:val="99"/>
    <w:semiHidden/>
    <w:rsid w:val="003C563B"/>
    <w:rPr>
      <w:rFonts w:ascii="Times New Roman" w:eastAsia="MS Mincho" w:hAnsi="Times New Roman" w:cs="Times New Roman"/>
      <w:i/>
      <w:iCs/>
      <w:sz w:val="24"/>
      <w:szCs w:val="24"/>
      <w:lang w:val="en-US" w:eastAsia="ja-JP"/>
    </w:rPr>
  </w:style>
  <w:style w:type="character" w:styleId="HTMLCite">
    <w:name w:val="HTML Cite"/>
    <w:basedOn w:val="DefaultParagraphFont"/>
    <w:uiPriority w:val="99"/>
    <w:semiHidden/>
    <w:unhideWhenUsed/>
    <w:rsid w:val="003C563B"/>
    <w:rPr>
      <w:i/>
      <w:iCs/>
    </w:rPr>
  </w:style>
  <w:style w:type="character" w:styleId="HTMLCode">
    <w:name w:val="HTML Code"/>
    <w:basedOn w:val="DefaultParagraphFont"/>
    <w:uiPriority w:val="99"/>
    <w:semiHidden/>
    <w:unhideWhenUsed/>
    <w:rsid w:val="003C563B"/>
    <w:rPr>
      <w:rFonts w:ascii="Courier New" w:hAnsi="Courier New" w:cs="Courier New"/>
      <w:sz w:val="20"/>
      <w:szCs w:val="20"/>
    </w:rPr>
  </w:style>
  <w:style w:type="character" w:styleId="HTMLDefinition">
    <w:name w:val="HTML Definition"/>
    <w:basedOn w:val="DefaultParagraphFont"/>
    <w:uiPriority w:val="99"/>
    <w:semiHidden/>
    <w:unhideWhenUsed/>
    <w:rsid w:val="003C563B"/>
    <w:rPr>
      <w:i/>
      <w:iCs/>
    </w:rPr>
  </w:style>
  <w:style w:type="character" w:styleId="HTMLKeyboard">
    <w:name w:val="HTML Keyboard"/>
    <w:basedOn w:val="DefaultParagraphFont"/>
    <w:uiPriority w:val="99"/>
    <w:semiHidden/>
    <w:unhideWhenUsed/>
    <w:rsid w:val="003C563B"/>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3C563B"/>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semiHidden/>
    <w:rsid w:val="003C563B"/>
    <w:rPr>
      <w:rFonts w:ascii="Courier New" w:eastAsia="MS Mincho" w:hAnsi="Courier New" w:cs="Courier New"/>
      <w:sz w:val="20"/>
      <w:szCs w:val="20"/>
      <w:lang w:val="en-US" w:eastAsia="ja-JP"/>
    </w:rPr>
  </w:style>
  <w:style w:type="character" w:styleId="HTMLSample">
    <w:name w:val="HTML Sample"/>
    <w:basedOn w:val="DefaultParagraphFont"/>
    <w:uiPriority w:val="99"/>
    <w:semiHidden/>
    <w:unhideWhenUsed/>
    <w:rsid w:val="003C563B"/>
    <w:rPr>
      <w:rFonts w:ascii="Courier New" w:hAnsi="Courier New" w:cs="Courier New"/>
    </w:rPr>
  </w:style>
  <w:style w:type="character" w:styleId="HTMLTypewriter">
    <w:name w:val="HTML Typewriter"/>
    <w:basedOn w:val="DefaultParagraphFont"/>
    <w:uiPriority w:val="99"/>
    <w:semiHidden/>
    <w:unhideWhenUsed/>
    <w:rsid w:val="003C563B"/>
    <w:rPr>
      <w:rFonts w:ascii="Courier New" w:hAnsi="Courier New" w:cs="Courier New"/>
      <w:sz w:val="20"/>
      <w:szCs w:val="20"/>
    </w:rPr>
  </w:style>
  <w:style w:type="character" w:styleId="HTMLVariable">
    <w:name w:val="HTML Variable"/>
    <w:basedOn w:val="DefaultParagraphFont"/>
    <w:uiPriority w:val="99"/>
    <w:semiHidden/>
    <w:unhideWhenUsed/>
    <w:rsid w:val="003C563B"/>
    <w:rPr>
      <w:i/>
      <w:iCs/>
    </w:rPr>
  </w:style>
  <w:style w:type="character" w:styleId="Hyperlink">
    <w:name w:val="Hyperlink"/>
    <w:basedOn w:val="DefaultParagraphFont"/>
    <w:uiPriority w:val="99"/>
    <w:unhideWhenUsed/>
    <w:rsid w:val="003C563B"/>
    <w:rPr>
      <w:color w:val="0000FF"/>
      <w:u w:val="single"/>
    </w:rPr>
  </w:style>
  <w:style w:type="character" w:styleId="LineNumber">
    <w:name w:val="line number"/>
    <w:basedOn w:val="DefaultParagraphFont"/>
    <w:uiPriority w:val="99"/>
    <w:semiHidden/>
    <w:unhideWhenUsed/>
    <w:rsid w:val="003C563B"/>
  </w:style>
  <w:style w:type="paragraph" w:styleId="List">
    <w:name w:val="List"/>
    <w:basedOn w:val="Normal"/>
    <w:uiPriority w:val="99"/>
    <w:semiHidden/>
    <w:unhideWhenUsed/>
    <w:rsid w:val="003C563B"/>
    <w:pPr>
      <w:ind w:left="360" w:hanging="360"/>
    </w:pPr>
    <w:rPr>
      <w:rFonts w:eastAsia="MS Mincho"/>
      <w:lang w:val="en-US" w:eastAsia="ja-JP"/>
    </w:rPr>
  </w:style>
  <w:style w:type="paragraph" w:styleId="List2">
    <w:name w:val="List 2"/>
    <w:basedOn w:val="Normal"/>
    <w:uiPriority w:val="99"/>
    <w:semiHidden/>
    <w:unhideWhenUsed/>
    <w:rsid w:val="003C563B"/>
    <w:pPr>
      <w:ind w:left="720" w:hanging="360"/>
    </w:pPr>
    <w:rPr>
      <w:rFonts w:eastAsia="MS Mincho"/>
      <w:lang w:val="en-US" w:eastAsia="ja-JP"/>
    </w:rPr>
  </w:style>
  <w:style w:type="paragraph" w:styleId="List3">
    <w:name w:val="List 3"/>
    <w:basedOn w:val="Normal"/>
    <w:uiPriority w:val="99"/>
    <w:semiHidden/>
    <w:unhideWhenUsed/>
    <w:rsid w:val="003C563B"/>
    <w:pPr>
      <w:ind w:left="1080" w:hanging="360"/>
    </w:pPr>
    <w:rPr>
      <w:rFonts w:eastAsia="MS Mincho"/>
      <w:lang w:val="en-US" w:eastAsia="ja-JP"/>
    </w:rPr>
  </w:style>
  <w:style w:type="paragraph" w:styleId="List4">
    <w:name w:val="List 4"/>
    <w:basedOn w:val="Normal"/>
    <w:uiPriority w:val="99"/>
    <w:semiHidden/>
    <w:unhideWhenUsed/>
    <w:rsid w:val="003C563B"/>
    <w:pPr>
      <w:ind w:left="1440" w:hanging="360"/>
    </w:pPr>
    <w:rPr>
      <w:rFonts w:eastAsia="MS Mincho"/>
      <w:lang w:val="en-US" w:eastAsia="ja-JP"/>
    </w:rPr>
  </w:style>
  <w:style w:type="paragraph" w:styleId="List5">
    <w:name w:val="List 5"/>
    <w:basedOn w:val="Normal"/>
    <w:uiPriority w:val="99"/>
    <w:semiHidden/>
    <w:unhideWhenUsed/>
    <w:rsid w:val="003C563B"/>
    <w:pPr>
      <w:ind w:left="1800" w:hanging="360"/>
    </w:pPr>
    <w:rPr>
      <w:rFonts w:eastAsia="MS Mincho"/>
      <w:lang w:val="en-US" w:eastAsia="ja-JP"/>
    </w:rPr>
  </w:style>
  <w:style w:type="paragraph" w:styleId="ListBullet">
    <w:name w:val="List Bullet"/>
    <w:basedOn w:val="Normal"/>
    <w:uiPriority w:val="99"/>
    <w:semiHidden/>
    <w:unhideWhenUsed/>
    <w:rsid w:val="003C563B"/>
    <w:pPr>
      <w:numPr>
        <w:numId w:val="10"/>
      </w:numPr>
    </w:pPr>
    <w:rPr>
      <w:rFonts w:eastAsia="MS Mincho"/>
      <w:lang w:val="en-US" w:eastAsia="ja-JP"/>
    </w:rPr>
  </w:style>
  <w:style w:type="paragraph" w:styleId="ListBullet2">
    <w:name w:val="List Bullet 2"/>
    <w:basedOn w:val="Normal"/>
    <w:uiPriority w:val="99"/>
    <w:semiHidden/>
    <w:unhideWhenUsed/>
    <w:rsid w:val="003C563B"/>
    <w:pPr>
      <w:numPr>
        <w:numId w:val="11"/>
      </w:numPr>
    </w:pPr>
    <w:rPr>
      <w:rFonts w:eastAsia="MS Mincho"/>
      <w:lang w:val="en-US" w:eastAsia="ja-JP"/>
    </w:rPr>
  </w:style>
  <w:style w:type="paragraph" w:styleId="ListBullet3">
    <w:name w:val="List Bullet 3"/>
    <w:basedOn w:val="Normal"/>
    <w:uiPriority w:val="99"/>
    <w:semiHidden/>
    <w:unhideWhenUsed/>
    <w:rsid w:val="003C563B"/>
    <w:pPr>
      <w:numPr>
        <w:numId w:val="12"/>
      </w:numPr>
    </w:pPr>
    <w:rPr>
      <w:rFonts w:eastAsia="MS Mincho"/>
      <w:lang w:val="en-US" w:eastAsia="ja-JP"/>
    </w:rPr>
  </w:style>
  <w:style w:type="paragraph" w:styleId="ListBullet4">
    <w:name w:val="List Bullet 4"/>
    <w:basedOn w:val="Normal"/>
    <w:uiPriority w:val="99"/>
    <w:semiHidden/>
    <w:unhideWhenUsed/>
    <w:rsid w:val="003C563B"/>
    <w:pPr>
      <w:numPr>
        <w:numId w:val="13"/>
      </w:numPr>
    </w:pPr>
    <w:rPr>
      <w:rFonts w:eastAsia="MS Mincho"/>
      <w:lang w:val="en-US" w:eastAsia="ja-JP"/>
    </w:rPr>
  </w:style>
  <w:style w:type="paragraph" w:styleId="ListBullet5">
    <w:name w:val="List Bullet 5"/>
    <w:basedOn w:val="Normal"/>
    <w:uiPriority w:val="99"/>
    <w:semiHidden/>
    <w:unhideWhenUsed/>
    <w:rsid w:val="003C563B"/>
    <w:pPr>
      <w:numPr>
        <w:numId w:val="14"/>
      </w:numPr>
    </w:pPr>
    <w:rPr>
      <w:rFonts w:eastAsia="MS Mincho"/>
      <w:lang w:val="en-US" w:eastAsia="ja-JP"/>
    </w:rPr>
  </w:style>
  <w:style w:type="paragraph" w:styleId="ListContinue">
    <w:name w:val="List Continue"/>
    <w:basedOn w:val="Normal"/>
    <w:uiPriority w:val="99"/>
    <w:semiHidden/>
    <w:unhideWhenUsed/>
    <w:rsid w:val="003C563B"/>
    <w:pPr>
      <w:spacing w:after="120"/>
      <w:ind w:left="360"/>
    </w:pPr>
    <w:rPr>
      <w:rFonts w:eastAsia="MS Mincho"/>
      <w:lang w:val="en-US" w:eastAsia="ja-JP"/>
    </w:rPr>
  </w:style>
  <w:style w:type="paragraph" w:styleId="ListContinue2">
    <w:name w:val="List Continue 2"/>
    <w:basedOn w:val="Normal"/>
    <w:uiPriority w:val="99"/>
    <w:semiHidden/>
    <w:unhideWhenUsed/>
    <w:rsid w:val="003C563B"/>
    <w:pPr>
      <w:spacing w:after="120"/>
      <w:ind w:left="720"/>
    </w:pPr>
    <w:rPr>
      <w:rFonts w:eastAsia="MS Mincho"/>
      <w:lang w:val="en-US" w:eastAsia="ja-JP"/>
    </w:rPr>
  </w:style>
  <w:style w:type="paragraph" w:styleId="ListContinue3">
    <w:name w:val="List Continue 3"/>
    <w:basedOn w:val="Normal"/>
    <w:uiPriority w:val="99"/>
    <w:semiHidden/>
    <w:unhideWhenUsed/>
    <w:rsid w:val="003C563B"/>
    <w:pPr>
      <w:spacing w:after="120"/>
      <w:ind w:left="1080"/>
    </w:pPr>
    <w:rPr>
      <w:rFonts w:eastAsia="MS Mincho"/>
      <w:lang w:val="en-US" w:eastAsia="ja-JP"/>
    </w:rPr>
  </w:style>
  <w:style w:type="paragraph" w:styleId="ListContinue4">
    <w:name w:val="List Continue 4"/>
    <w:basedOn w:val="Normal"/>
    <w:uiPriority w:val="99"/>
    <w:semiHidden/>
    <w:unhideWhenUsed/>
    <w:rsid w:val="003C563B"/>
    <w:pPr>
      <w:spacing w:after="120"/>
      <w:ind w:left="1440"/>
    </w:pPr>
    <w:rPr>
      <w:rFonts w:eastAsia="MS Mincho"/>
      <w:lang w:val="en-US" w:eastAsia="ja-JP"/>
    </w:rPr>
  </w:style>
  <w:style w:type="paragraph" w:styleId="ListContinue5">
    <w:name w:val="List Continue 5"/>
    <w:basedOn w:val="Normal"/>
    <w:uiPriority w:val="99"/>
    <w:semiHidden/>
    <w:unhideWhenUsed/>
    <w:rsid w:val="003C563B"/>
    <w:pPr>
      <w:spacing w:after="120"/>
      <w:ind w:left="1800"/>
    </w:pPr>
    <w:rPr>
      <w:rFonts w:eastAsia="MS Mincho"/>
      <w:lang w:val="en-US" w:eastAsia="ja-JP"/>
    </w:rPr>
  </w:style>
  <w:style w:type="paragraph" w:styleId="ListNumber">
    <w:name w:val="List Number"/>
    <w:basedOn w:val="Normal"/>
    <w:uiPriority w:val="99"/>
    <w:semiHidden/>
    <w:unhideWhenUsed/>
    <w:rsid w:val="003C563B"/>
    <w:pPr>
      <w:numPr>
        <w:numId w:val="15"/>
      </w:numPr>
    </w:pPr>
    <w:rPr>
      <w:rFonts w:eastAsia="MS Mincho"/>
      <w:lang w:val="en-US" w:eastAsia="ja-JP"/>
    </w:rPr>
  </w:style>
  <w:style w:type="paragraph" w:styleId="ListNumber2">
    <w:name w:val="List Number 2"/>
    <w:basedOn w:val="Normal"/>
    <w:uiPriority w:val="99"/>
    <w:semiHidden/>
    <w:unhideWhenUsed/>
    <w:rsid w:val="003C563B"/>
    <w:pPr>
      <w:numPr>
        <w:numId w:val="16"/>
      </w:numPr>
    </w:pPr>
    <w:rPr>
      <w:rFonts w:eastAsia="MS Mincho"/>
      <w:lang w:val="en-US" w:eastAsia="ja-JP"/>
    </w:rPr>
  </w:style>
  <w:style w:type="paragraph" w:styleId="ListNumber3">
    <w:name w:val="List Number 3"/>
    <w:basedOn w:val="Normal"/>
    <w:uiPriority w:val="99"/>
    <w:semiHidden/>
    <w:unhideWhenUsed/>
    <w:rsid w:val="003C563B"/>
    <w:pPr>
      <w:numPr>
        <w:numId w:val="17"/>
      </w:numPr>
    </w:pPr>
    <w:rPr>
      <w:rFonts w:eastAsia="MS Mincho"/>
      <w:lang w:val="en-US" w:eastAsia="ja-JP"/>
    </w:rPr>
  </w:style>
  <w:style w:type="paragraph" w:styleId="ListNumber4">
    <w:name w:val="List Number 4"/>
    <w:basedOn w:val="Normal"/>
    <w:uiPriority w:val="99"/>
    <w:semiHidden/>
    <w:unhideWhenUsed/>
    <w:rsid w:val="003C563B"/>
    <w:pPr>
      <w:numPr>
        <w:numId w:val="18"/>
      </w:numPr>
    </w:pPr>
    <w:rPr>
      <w:rFonts w:eastAsia="MS Mincho"/>
      <w:lang w:val="en-US" w:eastAsia="ja-JP"/>
    </w:rPr>
  </w:style>
  <w:style w:type="paragraph" w:styleId="ListNumber5">
    <w:name w:val="List Number 5"/>
    <w:basedOn w:val="Normal"/>
    <w:uiPriority w:val="99"/>
    <w:semiHidden/>
    <w:unhideWhenUsed/>
    <w:rsid w:val="003C563B"/>
    <w:pPr>
      <w:numPr>
        <w:numId w:val="19"/>
      </w:numPr>
    </w:pPr>
    <w:rPr>
      <w:rFonts w:eastAsia="MS Mincho"/>
      <w:lang w:val="en-US" w:eastAsia="ja-JP"/>
    </w:rPr>
  </w:style>
  <w:style w:type="paragraph" w:styleId="MessageHeader">
    <w:name w:val="Message Header"/>
    <w:basedOn w:val="Normal"/>
    <w:link w:val="MessageHeaderChar"/>
    <w:uiPriority w:val="99"/>
    <w:semiHidden/>
    <w:unhideWhenUsed/>
    <w:rsid w:val="003C563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S Mincho" w:hAnsi="Arial" w:cs="Arial"/>
      <w:lang w:val="en-US" w:eastAsia="ja-JP"/>
    </w:rPr>
  </w:style>
  <w:style w:type="character" w:customStyle="1" w:styleId="MessageHeaderChar">
    <w:name w:val="Message Header Char"/>
    <w:basedOn w:val="DefaultParagraphFont"/>
    <w:link w:val="MessageHeader"/>
    <w:uiPriority w:val="99"/>
    <w:semiHidden/>
    <w:rsid w:val="003C563B"/>
    <w:rPr>
      <w:rFonts w:ascii="Arial" w:eastAsia="MS Mincho" w:hAnsi="Arial" w:cs="Arial"/>
      <w:sz w:val="24"/>
      <w:szCs w:val="24"/>
      <w:shd w:val="pct20" w:color="auto" w:fill="auto"/>
      <w:lang w:val="en-US" w:eastAsia="ja-JP"/>
    </w:rPr>
  </w:style>
  <w:style w:type="paragraph" w:styleId="NormalWeb">
    <w:name w:val="Normal (Web)"/>
    <w:basedOn w:val="Normal"/>
    <w:uiPriority w:val="99"/>
    <w:unhideWhenUsed/>
    <w:rsid w:val="003C563B"/>
    <w:rPr>
      <w:rFonts w:eastAsia="MS Mincho"/>
      <w:lang w:val="en-US" w:eastAsia="ja-JP"/>
    </w:rPr>
  </w:style>
  <w:style w:type="paragraph" w:styleId="NormalIndent">
    <w:name w:val="Normal Indent"/>
    <w:basedOn w:val="Normal"/>
    <w:uiPriority w:val="99"/>
    <w:semiHidden/>
    <w:unhideWhenUsed/>
    <w:rsid w:val="003C563B"/>
    <w:pPr>
      <w:ind w:left="720"/>
    </w:pPr>
    <w:rPr>
      <w:rFonts w:eastAsia="MS Mincho"/>
      <w:lang w:val="en-US" w:eastAsia="ja-JP"/>
    </w:rPr>
  </w:style>
  <w:style w:type="paragraph" w:styleId="NoteHeading">
    <w:name w:val="Note Heading"/>
    <w:basedOn w:val="Normal"/>
    <w:next w:val="Normal"/>
    <w:link w:val="NoteHeadingChar"/>
    <w:uiPriority w:val="99"/>
    <w:semiHidden/>
    <w:unhideWhenUsed/>
    <w:rsid w:val="003C563B"/>
    <w:rPr>
      <w:rFonts w:eastAsia="MS Mincho"/>
      <w:lang w:val="en-US" w:eastAsia="ja-JP"/>
    </w:rPr>
  </w:style>
  <w:style w:type="character" w:customStyle="1" w:styleId="NoteHeadingChar">
    <w:name w:val="Note Heading Char"/>
    <w:basedOn w:val="DefaultParagraphFont"/>
    <w:link w:val="NoteHeading"/>
    <w:uiPriority w:val="99"/>
    <w:semiHidden/>
    <w:rsid w:val="003C563B"/>
    <w:rPr>
      <w:rFonts w:ascii="Times New Roman" w:eastAsia="MS Mincho" w:hAnsi="Times New Roman" w:cs="Times New Roman"/>
      <w:sz w:val="24"/>
      <w:szCs w:val="24"/>
      <w:lang w:val="en-US" w:eastAsia="ja-JP"/>
    </w:rPr>
  </w:style>
  <w:style w:type="character" w:styleId="PageNumber">
    <w:name w:val="page number"/>
    <w:basedOn w:val="DefaultParagraphFont"/>
    <w:uiPriority w:val="99"/>
    <w:semiHidden/>
    <w:unhideWhenUsed/>
    <w:rsid w:val="003C563B"/>
  </w:style>
  <w:style w:type="paragraph" w:styleId="PlainText">
    <w:name w:val="Plain Text"/>
    <w:basedOn w:val="Normal"/>
    <w:link w:val="PlainTextChar"/>
    <w:uiPriority w:val="99"/>
    <w:semiHidden/>
    <w:unhideWhenUsed/>
    <w:rsid w:val="003C563B"/>
    <w:rPr>
      <w:rFonts w:ascii="Courier New" w:eastAsia="MS Mincho" w:hAnsi="Courier New" w:cs="Courier New"/>
      <w:sz w:val="20"/>
      <w:szCs w:val="20"/>
      <w:lang w:val="en-US" w:eastAsia="ja-JP"/>
    </w:rPr>
  </w:style>
  <w:style w:type="character" w:customStyle="1" w:styleId="PlainTextChar">
    <w:name w:val="Plain Text Char"/>
    <w:basedOn w:val="DefaultParagraphFont"/>
    <w:link w:val="PlainText"/>
    <w:uiPriority w:val="99"/>
    <w:semiHidden/>
    <w:rsid w:val="003C563B"/>
    <w:rPr>
      <w:rFonts w:ascii="Courier New" w:eastAsia="MS Mincho" w:hAnsi="Courier New" w:cs="Courier New"/>
      <w:sz w:val="20"/>
      <w:szCs w:val="20"/>
      <w:lang w:val="en-US" w:eastAsia="ja-JP"/>
    </w:rPr>
  </w:style>
  <w:style w:type="paragraph" w:styleId="Salutation">
    <w:name w:val="Salutation"/>
    <w:basedOn w:val="Normal"/>
    <w:next w:val="Normal"/>
    <w:link w:val="SalutationChar"/>
    <w:uiPriority w:val="99"/>
    <w:semiHidden/>
    <w:unhideWhenUsed/>
    <w:rsid w:val="003C563B"/>
    <w:rPr>
      <w:rFonts w:eastAsia="MS Mincho"/>
      <w:lang w:val="en-US" w:eastAsia="ja-JP"/>
    </w:rPr>
  </w:style>
  <w:style w:type="character" w:customStyle="1" w:styleId="SalutationChar">
    <w:name w:val="Salutation Char"/>
    <w:basedOn w:val="DefaultParagraphFont"/>
    <w:link w:val="Salutation"/>
    <w:uiPriority w:val="99"/>
    <w:semiHidden/>
    <w:rsid w:val="003C563B"/>
    <w:rPr>
      <w:rFonts w:ascii="Times New Roman" w:eastAsia="MS Mincho" w:hAnsi="Times New Roman" w:cs="Times New Roman"/>
      <w:sz w:val="24"/>
      <w:szCs w:val="24"/>
      <w:lang w:val="en-US" w:eastAsia="ja-JP"/>
    </w:rPr>
  </w:style>
  <w:style w:type="paragraph" w:styleId="Signature">
    <w:name w:val="Signature"/>
    <w:basedOn w:val="Normal"/>
    <w:link w:val="SignatureChar"/>
    <w:uiPriority w:val="99"/>
    <w:semiHidden/>
    <w:unhideWhenUsed/>
    <w:rsid w:val="003C563B"/>
    <w:pPr>
      <w:ind w:left="4320"/>
    </w:pPr>
    <w:rPr>
      <w:rFonts w:eastAsia="MS Mincho"/>
      <w:lang w:val="en-US" w:eastAsia="ja-JP"/>
    </w:rPr>
  </w:style>
  <w:style w:type="character" w:customStyle="1" w:styleId="SignatureChar">
    <w:name w:val="Signature Char"/>
    <w:basedOn w:val="DefaultParagraphFont"/>
    <w:link w:val="Signature"/>
    <w:uiPriority w:val="99"/>
    <w:semiHidden/>
    <w:rsid w:val="003C563B"/>
    <w:rPr>
      <w:rFonts w:ascii="Times New Roman" w:eastAsia="MS Mincho" w:hAnsi="Times New Roman" w:cs="Times New Roman"/>
      <w:sz w:val="24"/>
      <w:szCs w:val="24"/>
      <w:lang w:val="en-US" w:eastAsia="ja-JP"/>
    </w:rPr>
  </w:style>
  <w:style w:type="character" w:styleId="Strong">
    <w:name w:val="Strong"/>
    <w:basedOn w:val="DefaultParagraphFont"/>
    <w:uiPriority w:val="22"/>
    <w:qFormat/>
    <w:rsid w:val="003C563B"/>
    <w:rPr>
      <w:b/>
      <w:bCs/>
    </w:rPr>
  </w:style>
  <w:style w:type="paragraph" w:styleId="Subtitle">
    <w:name w:val="Subtitle"/>
    <w:basedOn w:val="Normal"/>
    <w:link w:val="SubtitleChar"/>
    <w:uiPriority w:val="11"/>
    <w:qFormat/>
    <w:rsid w:val="003C563B"/>
    <w:pPr>
      <w:spacing w:after="60"/>
      <w:jc w:val="center"/>
      <w:outlineLvl w:val="1"/>
    </w:pPr>
    <w:rPr>
      <w:rFonts w:ascii="Arial" w:eastAsia="MS Mincho" w:hAnsi="Arial" w:cs="Arial"/>
      <w:lang w:val="en-US" w:eastAsia="ja-JP"/>
    </w:rPr>
  </w:style>
  <w:style w:type="character" w:customStyle="1" w:styleId="SubtitleChar">
    <w:name w:val="Subtitle Char"/>
    <w:basedOn w:val="DefaultParagraphFont"/>
    <w:link w:val="Subtitle"/>
    <w:uiPriority w:val="11"/>
    <w:rsid w:val="003C563B"/>
    <w:rPr>
      <w:rFonts w:ascii="Arial" w:eastAsia="MS Mincho" w:hAnsi="Arial" w:cs="Arial"/>
      <w:sz w:val="24"/>
      <w:szCs w:val="24"/>
      <w:lang w:val="en-US" w:eastAsia="ja-JP"/>
    </w:rPr>
  </w:style>
  <w:style w:type="table" w:styleId="Table3Deffects1">
    <w:name w:val="Table 3D effects 1"/>
    <w:basedOn w:val="TableNormal"/>
    <w:rsid w:val="003C563B"/>
    <w:pPr>
      <w:spacing w:after="0" w:line="240" w:lineRule="auto"/>
    </w:pPr>
    <w:rPr>
      <w:rFonts w:ascii="Times New Roman" w:eastAsia="MS Mincho"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563B"/>
    <w:pPr>
      <w:spacing w:after="0" w:line="240" w:lineRule="auto"/>
    </w:pPr>
    <w:rPr>
      <w:rFonts w:ascii="Times New Roman" w:eastAsia="MS Mincho"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563B"/>
    <w:pPr>
      <w:spacing w:after="0" w:line="240" w:lineRule="auto"/>
    </w:pPr>
    <w:rPr>
      <w:rFonts w:ascii="Times New Roman" w:eastAsia="MS Mincho"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563B"/>
    <w:pPr>
      <w:spacing w:after="0" w:line="240" w:lineRule="auto"/>
    </w:pPr>
    <w:rPr>
      <w:rFonts w:ascii="Times New Roman" w:eastAsia="MS Mincho"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563B"/>
    <w:pPr>
      <w:spacing w:after="0" w:line="240" w:lineRule="auto"/>
    </w:pPr>
    <w:rPr>
      <w:rFonts w:ascii="Times New Roman" w:eastAsia="MS Mincho"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563B"/>
    <w:pPr>
      <w:spacing w:after="0" w:line="240" w:lineRule="auto"/>
    </w:pPr>
    <w:rPr>
      <w:rFonts w:ascii="Times New Roman" w:eastAsia="MS Mincho"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563B"/>
    <w:pPr>
      <w:spacing w:after="0" w:line="240" w:lineRule="auto"/>
    </w:pPr>
    <w:rPr>
      <w:rFonts w:ascii="Times New Roman" w:eastAsia="MS Mincho"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563B"/>
    <w:pPr>
      <w:spacing w:after="0" w:line="240" w:lineRule="auto"/>
    </w:pPr>
    <w:rPr>
      <w:rFonts w:ascii="Times New Roman" w:eastAsia="MS Mincho"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563B"/>
    <w:pPr>
      <w:spacing w:after="0" w:line="240" w:lineRule="auto"/>
    </w:pPr>
    <w:rPr>
      <w:rFonts w:ascii="Times New Roman" w:eastAsia="MS Mincho"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563B"/>
    <w:pPr>
      <w:spacing w:after="0" w:line="240" w:lineRule="auto"/>
    </w:pPr>
    <w:rPr>
      <w:rFonts w:ascii="Times New Roman" w:eastAsia="MS Mincho"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563B"/>
    <w:pPr>
      <w:spacing w:after="0" w:line="240" w:lineRule="auto"/>
    </w:pPr>
    <w:rPr>
      <w:rFonts w:ascii="Times New Roman" w:eastAsia="MS Mincho"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563B"/>
    <w:pPr>
      <w:spacing w:after="0" w:line="240" w:lineRule="auto"/>
    </w:pPr>
    <w:rPr>
      <w:rFonts w:ascii="Times New Roman" w:eastAsia="MS Mincho"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563B"/>
    <w:pPr>
      <w:spacing w:after="0" w:line="240" w:lineRule="auto"/>
    </w:pPr>
    <w:rPr>
      <w:rFonts w:ascii="Times New Roman" w:eastAsia="MS Mincho"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563B"/>
    <w:pPr>
      <w:spacing w:after="0" w:line="240" w:lineRule="auto"/>
    </w:pPr>
    <w:rPr>
      <w:rFonts w:ascii="Times New Roman" w:eastAsia="MS Mincho"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563B"/>
    <w:pPr>
      <w:spacing w:after="0" w:line="240" w:lineRule="auto"/>
    </w:pPr>
    <w:rPr>
      <w:rFonts w:ascii="Times New Roman" w:eastAsia="MS Mincho"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563B"/>
    <w:pPr>
      <w:spacing w:after="0" w:line="240" w:lineRule="auto"/>
    </w:pPr>
    <w:rPr>
      <w:rFonts w:ascii="Times New Roman" w:eastAsia="MS Mincho"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563B"/>
    <w:pPr>
      <w:spacing w:after="0" w:line="240" w:lineRule="auto"/>
    </w:pPr>
    <w:rPr>
      <w:rFonts w:ascii="Times New Roman" w:eastAsia="MS Mincho"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C563B"/>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C563B"/>
    <w:pPr>
      <w:spacing w:after="0" w:line="240" w:lineRule="auto"/>
    </w:pPr>
    <w:rPr>
      <w:rFonts w:ascii="Times New Roman" w:eastAsia="MS Mincho"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563B"/>
    <w:pPr>
      <w:spacing w:after="0" w:line="240" w:lineRule="auto"/>
    </w:pPr>
    <w:rPr>
      <w:rFonts w:ascii="Times New Roman" w:eastAsia="MS Mincho"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563B"/>
    <w:pPr>
      <w:spacing w:after="0" w:line="240" w:lineRule="auto"/>
    </w:pPr>
    <w:rPr>
      <w:rFonts w:ascii="Times New Roman" w:eastAsia="MS Mincho"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563B"/>
    <w:pPr>
      <w:spacing w:after="0" w:line="240" w:lineRule="auto"/>
    </w:pPr>
    <w:rPr>
      <w:rFonts w:ascii="Times New Roman" w:eastAsia="MS Mincho"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563B"/>
    <w:pPr>
      <w:spacing w:after="0" w:line="240" w:lineRule="auto"/>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563B"/>
    <w:pPr>
      <w:spacing w:after="0" w:line="240" w:lineRule="auto"/>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563B"/>
    <w:pPr>
      <w:spacing w:after="0" w:line="240" w:lineRule="auto"/>
    </w:pPr>
    <w:rPr>
      <w:rFonts w:ascii="Times New Roman" w:eastAsia="MS Mincho"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563B"/>
    <w:pPr>
      <w:spacing w:after="0" w:line="240" w:lineRule="auto"/>
    </w:pPr>
    <w:rPr>
      <w:rFonts w:ascii="Times New Roman" w:eastAsia="MS Mincho"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563B"/>
    <w:pPr>
      <w:spacing w:after="0" w:line="240" w:lineRule="auto"/>
    </w:pPr>
    <w:rPr>
      <w:rFonts w:ascii="Times New Roman" w:eastAsia="MS Mincho"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563B"/>
    <w:pPr>
      <w:spacing w:after="0" w:line="240" w:lineRule="auto"/>
    </w:pPr>
    <w:rPr>
      <w:rFonts w:ascii="Times New Roman" w:eastAsia="MS Mincho"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563B"/>
    <w:pPr>
      <w:spacing w:after="0" w:line="240" w:lineRule="auto"/>
    </w:pPr>
    <w:rPr>
      <w:rFonts w:ascii="Times New Roman" w:eastAsia="MS Mincho"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563B"/>
    <w:pPr>
      <w:spacing w:after="0" w:line="240" w:lineRule="auto"/>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563B"/>
    <w:pPr>
      <w:spacing w:after="0" w:line="240" w:lineRule="auto"/>
    </w:pPr>
    <w:rPr>
      <w:rFonts w:ascii="Times New Roman" w:eastAsia="MS Mincho"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563B"/>
    <w:pPr>
      <w:spacing w:after="0" w:line="240" w:lineRule="auto"/>
    </w:pPr>
    <w:rPr>
      <w:rFonts w:ascii="Times New Roman" w:eastAsia="MS Mincho"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563B"/>
    <w:pPr>
      <w:spacing w:after="0" w:line="240" w:lineRule="auto"/>
    </w:pPr>
    <w:rPr>
      <w:rFonts w:ascii="Times New Roman" w:eastAsia="MS Mincho"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563B"/>
    <w:pPr>
      <w:spacing w:after="0" w:line="240" w:lineRule="auto"/>
    </w:pPr>
    <w:rPr>
      <w:rFonts w:ascii="Times New Roman" w:eastAsia="MS Mincho"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563B"/>
    <w:pPr>
      <w:spacing w:after="0" w:line="240" w:lineRule="auto"/>
    </w:pPr>
    <w:rPr>
      <w:rFonts w:ascii="Times New Roman" w:eastAsia="MS Mincho"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563B"/>
    <w:pPr>
      <w:spacing w:after="0" w:line="240" w:lineRule="auto"/>
    </w:pPr>
    <w:rPr>
      <w:rFonts w:ascii="Times New Roman" w:eastAsia="MS Mincho"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563B"/>
    <w:pPr>
      <w:spacing w:after="0" w:line="240" w:lineRule="auto"/>
    </w:pPr>
    <w:rPr>
      <w:rFonts w:ascii="Times New Roman" w:eastAsia="MS Mincho"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563B"/>
    <w:pPr>
      <w:spacing w:after="0" w:line="240" w:lineRule="auto"/>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563B"/>
    <w:pPr>
      <w:spacing w:after="0" w:line="240" w:lineRule="auto"/>
    </w:pPr>
    <w:rPr>
      <w:rFonts w:ascii="Times New Roman" w:eastAsia="MS Mincho"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563B"/>
    <w:pPr>
      <w:spacing w:after="0" w:line="240" w:lineRule="auto"/>
    </w:pPr>
    <w:rPr>
      <w:rFonts w:ascii="Times New Roman" w:eastAsia="MS Mincho"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563B"/>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563B"/>
    <w:pPr>
      <w:spacing w:after="0" w:line="240" w:lineRule="auto"/>
    </w:pPr>
    <w:rPr>
      <w:rFonts w:ascii="Times New Roman" w:eastAsia="MS Mincho"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563B"/>
    <w:pPr>
      <w:spacing w:after="0" w:line="240" w:lineRule="auto"/>
    </w:pPr>
    <w:rPr>
      <w:rFonts w:ascii="Times New Roman" w:eastAsia="MS Mincho"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563B"/>
    <w:pPr>
      <w:spacing w:after="0" w:line="240" w:lineRule="auto"/>
    </w:pPr>
    <w:rPr>
      <w:rFonts w:ascii="Times New Roman" w:eastAsia="MS Mincho"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3C563B"/>
    <w:pPr>
      <w:spacing w:before="240" w:after="60"/>
      <w:jc w:val="center"/>
      <w:outlineLvl w:val="0"/>
    </w:pPr>
    <w:rPr>
      <w:rFonts w:ascii="Arial" w:eastAsia="MS Mincho" w:hAnsi="Arial" w:cs="Arial"/>
      <w:b/>
      <w:bCs/>
      <w:kern w:val="28"/>
      <w:sz w:val="32"/>
      <w:szCs w:val="32"/>
      <w:lang w:val="en-US" w:eastAsia="ja-JP"/>
    </w:rPr>
  </w:style>
  <w:style w:type="character" w:customStyle="1" w:styleId="TitleChar">
    <w:name w:val="Title Char"/>
    <w:basedOn w:val="DefaultParagraphFont"/>
    <w:link w:val="Title"/>
    <w:uiPriority w:val="10"/>
    <w:rsid w:val="003C563B"/>
    <w:rPr>
      <w:rFonts w:ascii="Arial" w:eastAsia="MS Mincho" w:hAnsi="Arial" w:cs="Arial"/>
      <w:b/>
      <w:bCs/>
      <w:kern w:val="28"/>
      <w:sz w:val="32"/>
      <w:szCs w:val="32"/>
      <w:lang w:val="en-US" w:eastAsia="ja-JP"/>
    </w:rPr>
  </w:style>
  <w:style w:type="paragraph" w:styleId="Caption">
    <w:name w:val="caption"/>
    <w:basedOn w:val="Normal"/>
    <w:next w:val="Normal"/>
    <w:uiPriority w:val="35"/>
    <w:rsid w:val="003C563B"/>
    <w:rPr>
      <w:rFonts w:eastAsia="MS Mincho"/>
      <w:b/>
      <w:bCs/>
      <w:sz w:val="20"/>
      <w:szCs w:val="20"/>
      <w:lang w:val="en-US" w:eastAsia="ja-JP"/>
    </w:rPr>
  </w:style>
  <w:style w:type="character" w:styleId="CommentReference">
    <w:name w:val="annotation reference"/>
    <w:basedOn w:val="DefaultParagraphFont"/>
    <w:uiPriority w:val="99"/>
    <w:semiHidden/>
    <w:unhideWhenUsed/>
    <w:rsid w:val="003C563B"/>
    <w:rPr>
      <w:sz w:val="16"/>
      <w:szCs w:val="16"/>
    </w:rPr>
  </w:style>
  <w:style w:type="paragraph" w:styleId="CommentText">
    <w:name w:val="annotation text"/>
    <w:basedOn w:val="Normal"/>
    <w:link w:val="CommentTextChar"/>
    <w:uiPriority w:val="99"/>
    <w:semiHidden/>
    <w:unhideWhenUsed/>
    <w:rsid w:val="003C563B"/>
    <w:rPr>
      <w:rFonts w:eastAsia="MS Mincho"/>
      <w:sz w:val="20"/>
      <w:szCs w:val="20"/>
      <w:lang w:val="en-US" w:eastAsia="ja-JP"/>
    </w:rPr>
  </w:style>
  <w:style w:type="character" w:customStyle="1" w:styleId="CommentTextChar">
    <w:name w:val="Comment Text Char"/>
    <w:basedOn w:val="DefaultParagraphFont"/>
    <w:link w:val="CommentText"/>
    <w:uiPriority w:val="99"/>
    <w:semiHidden/>
    <w:rsid w:val="003C563B"/>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3C563B"/>
    <w:rPr>
      <w:b/>
      <w:bCs/>
    </w:rPr>
  </w:style>
  <w:style w:type="character" w:customStyle="1" w:styleId="CommentSubjectChar">
    <w:name w:val="Comment Subject Char"/>
    <w:basedOn w:val="CommentTextChar"/>
    <w:link w:val="CommentSubject"/>
    <w:uiPriority w:val="99"/>
    <w:semiHidden/>
    <w:rsid w:val="003C563B"/>
    <w:rPr>
      <w:rFonts w:ascii="Times New Roman" w:eastAsia="MS Mincho" w:hAnsi="Times New Roman" w:cs="Times New Roman"/>
      <w:b/>
      <w:bCs/>
      <w:sz w:val="20"/>
      <w:szCs w:val="20"/>
      <w:lang w:val="en-US" w:eastAsia="ja-JP"/>
    </w:rPr>
  </w:style>
  <w:style w:type="paragraph" w:styleId="DocumentMap">
    <w:name w:val="Document Map"/>
    <w:basedOn w:val="Normal"/>
    <w:link w:val="DocumentMapChar"/>
    <w:uiPriority w:val="99"/>
    <w:semiHidden/>
    <w:unhideWhenUsed/>
    <w:rsid w:val="003C563B"/>
    <w:pPr>
      <w:shd w:val="clear" w:color="auto" w:fill="000080"/>
    </w:pPr>
    <w:rPr>
      <w:rFonts w:ascii="Tahoma" w:eastAsia="MS Mincho" w:hAnsi="Tahoma" w:cs="Tahoma"/>
      <w:sz w:val="20"/>
      <w:szCs w:val="20"/>
      <w:lang w:val="en-US" w:eastAsia="ja-JP"/>
    </w:rPr>
  </w:style>
  <w:style w:type="character" w:customStyle="1" w:styleId="DocumentMapChar">
    <w:name w:val="Document Map Char"/>
    <w:basedOn w:val="DefaultParagraphFont"/>
    <w:link w:val="DocumentMap"/>
    <w:uiPriority w:val="99"/>
    <w:semiHidden/>
    <w:rsid w:val="003C563B"/>
    <w:rPr>
      <w:rFonts w:ascii="Tahoma" w:eastAsia="MS Mincho" w:hAnsi="Tahoma" w:cs="Tahoma"/>
      <w:sz w:val="20"/>
      <w:szCs w:val="20"/>
      <w:shd w:val="clear" w:color="auto" w:fill="000080"/>
      <w:lang w:val="en-US" w:eastAsia="ja-JP"/>
    </w:rPr>
  </w:style>
  <w:style w:type="character" w:styleId="EndnoteReference">
    <w:name w:val="endnote reference"/>
    <w:basedOn w:val="DefaultParagraphFont"/>
    <w:uiPriority w:val="99"/>
    <w:semiHidden/>
    <w:unhideWhenUsed/>
    <w:rsid w:val="003C563B"/>
    <w:rPr>
      <w:vertAlign w:val="superscript"/>
    </w:rPr>
  </w:style>
  <w:style w:type="paragraph" w:styleId="EndnoteText">
    <w:name w:val="endnote text"/>
    <w:basedOn w:val="Normal"/>
    <w:link w:val="EndnoteTextChar"/>
    <w:uiPriority w:val="99"/>
    <w:semiHidden/>
    <w:unhideWhenUsed/>
    <w:rsid w:val="003C563B"/>
    <w:rPr>
      <w:rFonts w:eastAsia="MS Mincho"/>
      <w:sz w:val="20"/>
      <w:szCs w:val="20"/>
      <w:lang w:val="en-US" w:eastAsia="ja-JP"/>
    </w:rPr>
  </w:style>
  <w:style w:type="character" w:customStyle="1" w:styleId="EndnoteTextChar">
    <w:name w:val="Endnote Text Char"/>
    <w:basedOn w:val="DefaultParagraphFont"/>
    <w:link w:val="EndnoteText"/>
    <w:uiPriority w:val="99"/>
    <w:semiHidden/>
    <w:rsid w:val="003C563B"/>
    <w:rPr>
      <w:rFonts w:ascii="Times New Roman" w:eastAsia="MS Mincho" w:hAnsi="Times New Roman" w:cs="Times New Roman"/>
      <w:sz w:val="20"/>
      <w:szCs w:val="20"/>
      <w:lang w:val="en-US" w:eastAsia="ja-JP"/>
    </w:rPr>
  </w:style>
  <w:style w:type="paragraph" w:styleId="Index1">
    <w:name w:val="index 1"/>
    <w:basedOn w:val="Normal"/>
    <w:next w:val="Normal"/>
    <w:autoRedefine/>
    <w:uiPriority w:val="99"/>
    <w:semiHidden/>
    <w:unhideWhenUsed/>
    <w:rsid w:val="003C563B"/>
    <w:pPr>
      <w:ind w:left="240" w:hanging="240"/>
    </w:pPr>
    <w:rPr>
      <w:rFonts w:eastAsia="MS Mincho"/>
      <w:lang w:val="en-US" w:eastAsia="ja-JP"/>
    </w:rPr>
  </w:style>
  <w:style w:type="paragraph" w:styleId="Index2">
    <w:name w:val="index 2"/>
    <w:basedOn w:val="Normal"/>
    <w:next w:val="Normal"/>
    <w:autoRedefine/>
    <w:uiPriority w:val="99"/>
    <w:semiHidden/>
    <w:unhideWhenUsed/>
    <w:rsid w:val="003C563B"/>
    <w:pPr>
      <w:ind w:left="480" w:hanging="240"/>
    </w:pPr>
    <w:rPr>
      <w:rFonts w:eastAsia="MS Mincho"/>
      <w:lang w:val="en-US" w:eastAsia="ja-JP"/>
    </w:rPr>
  </w:style>
  <w:style w:type="paragraph" w:styleId="Index3">
    <w:name w:val="index 3"/>
    <w:basedOn w:val="Normal"/>
    <w:next w:val="Normal"/>
    <w:autoRedefine/>
    <w:uiPriority w:val="99"/>
    <w:semiHidden/>
    <w:unhideWhenUsed/>
    <w:rsid w:val="003C563B"/>
    <w:pPr>
      <w:ind w:left="720" w:hanging="240"/>
    </w:pPr>
    <w:rPr>
      <w:rFonts w:eastAsia="MS Mincho"/>
      <w:lang w:val="en-US" w:eastAsia="ja-JP"/>
    </w:rPr>
  </w:style>
  <w:style w:type="paragraph" w:styleId="Index4">
    <w:name w:val="index 4"/>
    <w:basedOn w:val="Normal"/>
    <w:next w:val="Normal"/>
    <w:autoRedefine/>
    <w:uiPriority w:val="99"/>
    <w:semiHidden/>
    <w:unhideWhenUsed/>
    <w:rsid w:val="003C563B"/>
    <w:pPr>
      <w:ind w:left="960" w:hanging="240"/>
    </w:pPr>
    <w:rPr>
      <w:rFonts w:eastAsia="MS Mincho"/>
      <w:lang w:val="en-US" w:eastAsia="ja-JP"/>
    </w:rPr>
  </w:style>
  <w:style w:type="paragraph" w:styleId="Index5">
    <w:name w:val="index 5"/>
    <w:basedOn w:val="Normal"/>
    <w:next w:val="Normal"/>
    <w:autoRedefine/>
    <w:uiPriority w:val="99"/>
    <w:semiHidden/>
    <w:unhideWhenUsed/>
    <w:rsid w:val="003C563B"/>
    <w:pPr>
      <w:ind w:left="1200" w:hanging="240"/>
    </w:pPr>
    <w:rPr>
      <w:rFonts w:eastAsia="MS Mincho"/>
      <w:lang w:val="en-US" w:eastAsia="ja-JP"/>
    </w:rPr>
  </w:style>
  <w:style w:type="paragraph" w:styleId="Index6">
    <w:name w:val="index 6"/>
    <w:basedOn w:val="Normal"/>
    <w:next w:val="Normal"/>
    <w:autoRedefine/>
    <w:uiPriority w:val="99"/>
    <w:semiHidden/>
    <w:unhideWhenUsed/>
    <w:rsid w:val="003C563B"/>
    <w:pPr>
      <w:ind w:left="1440" w:hanging="240"/>
    </w:pPr>
    <w:rPr>
      <w:rFonts w:eastAsia="MS Mincho"/>
      <w:lang w:val="en-US" w:eastAsia="ja-JP"/>
    </w:rPr>
  </w:style>
  <w:style w:type="paragraph" w:styleId="Index7">
    <w:name w:val="index 7"/>
    <w:basedOn w:val="Normal"/>
    <w:next w:val="Normal"/>
    <w:autoRedefine/>
    <w:uiPriority w:val="99"/>
    <w:semiHidden/>
    <w:unhideWhenUsed/>
    <w:rsid w:val="003C563B"/>
    <w:pPr>
      <w:ind w:left="1680" w:hanging="240"/>
    </w:pPr>
    <w:rPr>
      <w:rFonts w:eastAsia="MS Mincho"/>
      <w:lang w:val="en-US" w:eastAsia="ja-JP"/>
    </w:rPr>
  </w:style>
  <w:style w:type="paragraph" w:styleId="Index8">
    <w:name w:val="index 8"/>
    <w:basedOn w:val="Normal"/>
    <w:next w:val="Normal"/>
    <w:autoRedefine/>
    <w:uiPriority w:val="99"/>
    <w:semiHidden/>
    <w:unhideWhenUsed/>
    <w:rsid w:val="003C563B"/>
    <w:pPr>
      <w:ind w:left="1920" w:hanging="240"/>
    </w:pPr>
    <w:rPr>
      <w:rFonts w:eastAsia="MS Mincho"/>
      <w:lang w:val="en-US" w:eastAsia="ja-JP"/>
    </w:rPr>
  </w:style>
  <w:style w:type="paragraph" w:styleId="Index9">
    <w:name w:val="index 9"/>
    <w:basedOn w:val="Normal"/>
    <w:next w:val="Normal"/>
    <w:autoRedefine/>
    <w:uiPriority w:val="99"/>
    <w:semiHidden/>
    <w:unhideWhenUsed/>
    <w:rsid w:val="003C563B"/>
    <w:pPr>
      <w:ind w:left="2160" w:hanging="240"/>
    </w:pPr>
    <w:rPr>
      <w:rFonts w:eastAsia="MS Mincho"/>
      <w:lang w:val="en-US" w:eastAsia="ja-JP"/>
    </w:rPr>
  </w:style>
  <w:style w:type="paragraph" w:styleId="IndexHeading">
    <w:name w:val="index heading"/>
    <w:basedOn w:val="Normal"/>
    <w:next w:val="Index1"/>
    <w:uiPriority w:val="99"/>
    <w:semiHidden/>
    <w:unhideWhenUsed/>
    <w:rsid w:val="003C563B"/>
    <w:rPr>
      <w:rFonts w:ascii="Arial" w:eastAsia="MS Mincho" w:hAnsi="Arial" w:cs="Arial"/>
      <w:b/>
      <w:bCs/>
      <w:lang w:val="en-US" w:eastAsia="ja-JP"/>
    </w:rPr>
  </w:style>
  <w:style w:type="paragraph" w:styleId="MacroText">
    <w:name w:val="macro"/>
    <w:link w:val="MacroTextChar"/>
    <w:uiPriority w:val="99"/>
    <w:semiHidden/>
    <w:unhideWhenUsed/>
    <w:rsid w:val="003C563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sz w:val="20"/>
      <w:szCs w:val="20"/>
      <w:lang w:val="en-US" w:eastAsia="ja-JP"/>
    </w:rPr>
  </w:style>
  <w:style w:type="character" w:customStyle="1" w:styleId="MacroTextChar">
    <w:name w:val="Macro Text Char"/>
    <w:basedOn w:val="DefaultParagraphFont"/>
    <w:link w:val="MacroText"/>
    <w:uiPriority w:val="99"/>
    <w:semiHidden/>
    <w:rsid w:val="003C563B"/>
    <w:rPr>
      <w:rFonts w:ascii="Courier New" w:eastAsia="MS Mincho" w:hAnsi="Courier New" w:cs="Courier New"/>
      <w:sz w:val="20"/>
      <w:szCs w:val="20"/>
      <w:lang w:val="en-US" w:eastAsia="ja-JP"/>
    </w:rPr>
  </w:style>
  <w:style w:type="paragraph" w:styleId="TableofAuthorities">
    <w:name w:val="table of authorities"/>
    <w:basedOn w:val="Normal"/>
    <w:next w:val="Normal"/>
    <w:uiPriority w:val="99"/>
    <w:semiHidden/>
    <w:unhideWhenUsed/>
    <w:rsid w:val="003C563B"/>
    <w:pPr>
      <w:ind w:left="240" w:hanging="240"/>
    </w:pPr>
    <w:rPr>
      <w:rFonts w:eastAsia="MS Mincho"/>
      <w:lang w:val="en-US" w:eastAsia="ja-JP"/>
    </w:rPr>
  </w:style>
  <w:style w:type="paragraph" w:styleId="TableofFigures">
    <w:name w:val="table of figures"/>
    <w:basedOn w:val="Normal"/>
    <w:next w:val="Normal"/>
    <w:uiPriority w:val="99"/>
    <w:semiHidden/>
    <w:unhideWhenUsed/>
    <w:rsid w:val="003C563B"/>
    <w:rPr>
      <w:rFonts w:eastAsia="MS Mincho"/>
      <w:lang w:val="en-US" w:eastAsia="ja-JP"/>
    </w:rPr>
  </w:style>
  <w:style w:type="paragraph" w:styleId="TOAHeading">
    <w:name w:val="toa heading"/>
    <w:basedOn w:val="Normal"/>
    <w:next w:val="Normal"/>
    <w:uiPriority w:val="99"/>
    <w:semiHidden/>
    <w:unhideWhenUsed/>
    <w:rsid w:val="003C563B"/>
    <w:pPr>
      <w:spacing w:before="120"/>
    </w:pPr>
    <w:rPr>
      <w:rFonts w:ascii="Arial" w:eastAsia="MS Mincho" w:hAnsi="Arial" w:cs="Arial"/>
      <w:b/>
      <w:bCs/>
      <w:lang w:val="en-US" w:eastAsia="ja-JP"/>
    </w:rPr>
  </w:style>
  <w:style w:type="paragraph" w:styleId="TOC1">
    <w:name w:val="toc 1"/>
    <w:basedOn w:val="Normal"/>
    <w:next w:val="Normal"/>
    <w:autoRedefine/>
    <w:uiPriority w:val="99"/>
    <w:semiHidden/>
    <w:unhideWhenUsed/>
    <w:rsid w:val="003C563B"/>
    <w:rPr>
      <w:rFonts w:eastAsia="MS Mincho"/>
      <w:lang w:val="en-US" w:eastAsia="ja-JP"/>
    </w:rPr>
  </w:style>
  <w:style w:type="paragraph" w:styleId="TOC2">
    <w:name w:val="toc 2"/>
    <w:basedOn w:val="Normal"/>
    <w:next w:val="Normal"/>
    <w:autoRedefine/>
    <w:uiPriority w:val="99"/>
    <w:semiHidden/>
    <w:unhideWhenUsed/>
    <w:rsid w:val="003C563B"/>
    <w:pPr>
      <w:ind w:left="240"/>
    </w:pPr>
    <w:rPr>
      <w:rFonts w:eastAsia="MS Mincho"/>
      <w:lang w:val="en-US" w:eastAsia="ja-JP"/>
    </w:rPr>
  </w:style>
  <w:style w:type="paragraph" w:styleId="TOC3">
    <w:name w:val="toc 3"/>
    <w:basedOn w:val="Normal"/>
    <w:next w:val="Normal"/>
    <w:autoRedefine/>
    <w:uiPriority w:val="99"/>
    <w:semiHidden/>
    <w:unhideWhenUsed/>
    <w:rsid w:val="003C563B"/>
    <w:pPr>
      <w:ind w:left="480"/>
    </w:pPr>
    <w:rPr>
      <w:rFonts w:eastAsia="MS Mincho"/>
      <w:lang w:val="en-US" w:eastAsia="ja-JP"/>
    </w:rPr>
  </w:style>
  <w:style w:type="paragraph" w:styleId="TOC4">
    <w:name w:val="toc 4"/>
    <w:basedOn w:val="Normal"/>
    <w:next w:val="Normal"/>
    <w:autoRedefine/>
    <w:uiPriority w:val="99"/>
    <w:semiHidden/>
    <w:unhideWhenUsed/>
    <w:rsid w:val="003C563B"/>
    <w:pPr>
      <w:ind w:left="720"/>
    </w:pPr>
    <w:rPr>
      <w:rFonts w:eastAsia="MS Mincho"/>
      <w:lang w:val="en-US" w:eastAsia="ja-JP"/>
    </w:rPr>
  </w:style>
  <w:style w:type="paragraph" w:styleId="TOC5">
    <w:name w:val="toc 5"/>
    <w:basedOn w:val="Normal"/>
    <w:next w:val="Normal"/>
    <w:autoRedefine/>
    <w:uiPriority w:val="99"/>
    <w:semiHidden/>
    <w:unhideWhenUsed/>
    <w:rsid w:val="003C563B"/>
    <w:pPr>
      <w:ind w:left="960"/>
    </w:pPr>
    <w:rPr>
      <w:rFonts w:eastAsia="MS Mincho"/>
      <w:lang w:val="en-US" w:eastAsia="ja-JP"/>
    </w:rPr>
  </w:style>
  <w:style w:type="paragraph" w:styleId="TOC6">
    <w:name w:val="toc 6"/>
    <w:basedOn w:val="Normal"/>
    <w:next w:val="Normal"/>
    <w:autoRedefine/>
    <w:uiPriority w:val="99"/>
    <w:semiHidden/>
    <w:unhideWhenUsed/>
    <w:rsid w:val="003C563B"/>
    <w:pPr>
      <w:ind w:left="1200"/>
    </w:pPr>
    <w:rPr>
      <w:rFonts w:eastAsia="MS Mincho"/>
      <w:lang w:val="en-US" w:eastAsia="ja-JP"/>
    </w:rPr>
  </w:style>
  <w:style w:type="paragraph" w:styleId="TOC7">
    <w:name w:val="toc 7"/>
    <w:basedOn w:val="Normal"/>
    <w:next w:val="Normal"/>
    <w:autoRedefine/>
    <w:uiPriority w:val="99"/>
    <w:semiHidden/>
    <w:unhideWhenUsed/>
    <w:rsid w:val="003C563B"/>
    <w:pPr>
      <w:ind w:left="1440"/>
    </w:pPr>
    <w:rPr>
      <w:rFonts w:eastAsia="MS Mincho"/>
      <w:lang w:val="en-US" w:eastAsia="ja-JP"/>
    </w:rPr>
  </w:style>
  <w:style w:type="paragraph" w:styleId="TOC8">
    <w:name w:val="toc 8"/>
    <w:basedOn w:val="Normal"/>
    <w:next w:val="Normal"/>
    <w:autoRedefine/>
    <w:uiPriority w:val="99"/>
    <w:semiHidden/>
    <w:unhideWhenUsed/>
    <w:rsid w:val="003C563B"/>
    <w:pPr>
      <w:ind w:left="1680"/>
    </w:pPr>
    <w:rPr>
      <w:rFonts w:eastAsia="MS Mincho"/>
      <w:lang w:val="en-US" w:eastAsia="ja-JP"/>
    </w:rPr>
  </w:style>
  <w:style w:type="paragraph" w:styleId="TOC9">
    <w:name w:val="toc 9"/>
    <w:basedOn w:val="Normal"/>
    <w:next w:val="Normal"/>
    <w:autoRedefine/>
    <w:uiPriority w:val="99"/>
    <w:semiHidden/>
    <w:unhideWhenUsed/>
    <w:rsid w:val="003C563B"/>
    <w:pPr>
      <w:ind w:left="1920"/>
    </w:pPr>
    <w:rPr>
      <w:rFonts w:eastAsia="MS Mincho"/>
      <w:lang w:val="en-US" w:eastAsia="ja-JP"/>
    </w:rPr>
  </w:style>
  <w:style w:type="paragraph" w:styleId="Quote">
    <w:name w:val="Quote"/>
    <w:basedOn w:val="Normal"/>
    <w:next w:val="Normal"/>
    <w:link w:val="QuoteChar"/>
    <w:uiPriority w:val="29"/>
    <w:qFormat/>
    <w:rsid w:val="003C563B"/>
    <w:rPr>
      <w:rFonts w:eastAsia="MS Mincho"/>
      <w:i/>
      <w:iCs/>
      <w:color w:val="000000" w:themeColor="text1"/>
      <w:lang w:val="en-US" w:eastAsia="ja-JP"/>
    </w:rPr>
  </w:style>
  <w:style w:type="character" w:customStyle="1" w:styleId="QuoteChar">
    <w:name w:val="Quote Char"/>
    <w:basedOn w:val="DefaultParagraphFont"/>
    <w:link w:val="Quote"/>
    <w:uiPriority w:val="29"/>
    <w:rsid w:val="003C563B"/>
    <w:rPr>
      <w:rFonts w:ascii="Times New Roman" w:eastAsia="MS Mincho" w:hAnsi="Times New Roman" w:cs="Times New Roman"/>
      <w:i/>
      <w:iCs/>
      <w:color w:val="000000" w:themeColor="text1"/>
      <w:sz w:val="24"/>
      <w:szCs w:val="24"/>
      <w:lang w:val="en-US" w:eastAsia="ja-JP"/>
    </w:rPr>
  </w:style>
  <w:style w:type="paragraph" w:styleId="Revision">
    <w:name w:val="Revision"/>
    <w:hidden/>
    <w:uiPriority w:val="99"/>
    <w:semiHidden/>
    <w:rsid w:val="003C31DE"/>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8478A"/>
  </w:style>
  <w:style w:type="character" w:customStyle="1" w:styleId="maintitle">
    <w:name w:val="maintitle"/>
    <w:basedOn w:val="DefaultParagraphFont"/>
    <w:rsid w:val="00F121CF"/>
  </w:style>
  <w:style w:type="paragraph" w:customStyle="1" w:styleId="articlecategory">
    <w:name w:val="articlecategory"/>
    <w:basedOn w:val="Normal"/>
    <w:rsid w:val="00F121CF"/>
    <w:pPr>
      <w:spacing w:before="100" w:beforeAutospacing="1" w:after="100" w:afterAutospacing="1"/>
    </w:pPr>
  </w:style>
  <w:style w:type="paragraph" w:customStyle="1" w:styleId="articledetails">
    <w:name w:val="articledetails"/>
    <w:basedOn w:val="Normal"/>
    <w:rsid w:val="00F121CF"/>
    <w:pPr>
      <w:spacing w:before="100" w:beforeAutospacing="1" w:after="100" w:afterAutospacing="1"/>
    </w:pPr>
  </w:style>
  <w:style w:type="character" w:customStyle="1" w:styleId="Normal1">
    <w:name w:val="Normal1"/>
    <w:basedOn w:val="DefaultParagraphFont"/>
    <w:rsid w:val="004553E3"/>
  </w:style>
  <w:style w:type="character" w:customStyle="1" w:styleId="bold">
    <w:name w:val="bold"/>
    <w:basedOn w:val="DefaultParagraphFont"/>
    <w:rsid w:val="00455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0015">
      <w:bodyDiv w:val="1"/>
      <w:marLeft w:val="0"/>
      <w:marRight w:val="0"/>
      <w:marTop w:val="0"/>
      <w:marBottom w:val="0"/>
      <w:divBdr>
        <w:top w:val="none" w:sz="0" w:space="0" w:color="auto"/>
        <w:left w:val="none" w:sz="0" w:space="0" w:color="auto"/>
        <w:bottom w:val="none" w:sz="0" w:space="0" w:color="auto"/>
        <w:right w:val="none" w:sz="0" w:space="0" w:color="auto"/>
      </w:divBdr>
    </w:div>
    <w:div w:id="817917439">
      <w:bodyDiv w:val="1"/>
      <w:marLeft w:val="0"/>
      <w:marRight w:val="0"/>
      <w:marTop w:val="0"/>
      <w:marBottom w:val="0"/>
      <w:divBdr>
        <w:top w:val="none" w:sz="0" w:space="0" w:color="auto"/>
        <w:left w:val="none" w:sz="0" w:space="0" w:color="auto"/>
        <w:bottom w:val="none" w:sz="0" w:space="0" w:color="auto"/>
        <w:right w:val="none" w:sz="0" w:space="0" w:color="auto"/>
      </w:divBdr>
    </w:div>
    <w:div w:id="869538591">
      <w:bodyDiv w:val="1"/>
      <w:marLeft w:val="0"/>
      <w:marRight w:val="0"/>
      <w:marTop w:val="0"/>
      <w:marBottom w:val="0"/>
      <w:divBdr>
        <w:top w:val="none" w:sz="0" w:space="0" w:color="auto"/>
        <w:left w:val="none" w:sz="0" w:space="0" w:color="auto"/>
        <w:bottom w:val="none" w:sz="0" w:space="0" w:color="auto"/>
        <w:right w:val="none" w:sz="0" w:space="0" w:color="auto"/>
      </w:divBdr>
      <w:divsChild>
        <w:div w:id="1645698475">
          <w:marLeft w:val="0"/>
          <w:marRight w:val="0"/>
          <w:marTop w:val="360"/>
          <w:marBottom w:val="240"/>
          <w:divBdr>
            <w:top w:val="none" w:sz="0" w:space="0" w:color="auto"/>
            <w:left w:val="none" w:sz="0" w:space="0" w:color="auto"/>
            <w:bottom w:val="none" w:sz="0" w:space="0" w:color="auto"/>
            <w:right w:val="none" w:sz="0" w:space="0" w:color="auto"/>
          </w:divBdr>
        </w:div>
        <w:div w:id="666786478">
          <w:marLeft w:val="192"/>
          <w:marRight w:val="0"/>
          <w:marTop w:val="0"/>
          <w:marBottom w:val="240"/>
          <w:divBdr>
            <w:top w:val="none" w:sz="0" w:space="0" w:color="auto"/>
            <w:left w:val="none" w:sz="0" w:space="0" w:color="auto"/>
            <w:bottom w:val="none" w:sz="0" w:space="0" w:color="auto"/>
            <w:right w:val="none" w:sz="0" w:space="0" w:color="auto"/>
          </w:divBdr>
          <w:divsChild>
            <w:div w:id="1910386190">
              <w:marLeft w:val="0"/>
              <w:marRight w:val="0"/>
              <w:marTop w:val="0"/>
              <w:marBottom w:val="192"/>
              <w:divBdr>
                <w:top w:val="none" w:sz="0" w:space="0" w:color="auto"/>
                <w:left w:val="none" w:sz="0" w:space="0" w:color="auto"/>
                <w:bottom w:val="none" w:sz="0" w:space="0" w:color="auto"/>
                <w:right w:val="none" w:sz="0" w:space="0" w:color="auto"/>
              </w:divBdr>
            </w:div>
            <w:div w:id="1773671527">
              <w:marLeft w:val="0"/>
              <w:marRight w:val="0"/>
              <w:marTop w:val="0"/>
              <w:marBottom w:val="192"/>
              <w:divBdr>
                <w:top w:val="none" w:sz="0" w:space="0" w:color="auto"/>
                <w:left w:val="none" w:sz="0" w:space="0" w:color="auto"/>
                <w:bottom w:val="none" w:sz="0" w:space="0" w:color="auto"/>
                <w:right w:val="none" w:sz="0" w:space="0" w:color="auto"/>
              </w:divBdr>
            </w:div>
            <w:div w:id="1647198177">
              <w:marLeft w:val="0"/>
              <w:marRight w:val="0"/>
              <w:marTop w:val="0"/>
              <w:marBottom w:val="192"/>
              <w:divBdr>
                <w:top w:val="none" w:sz="0" w:space="0" w:color="auto"/>
                <w:left w:val="none" w:sz="0" w:space="0" w:color="auto"/>
                <w:bottom w:val="none" w:sz="0" w:space="0" w:color="auto"/>
                <w:right w:val="none" w:sz="0" w:space="0" w:color="auto"/>
              </w:divBdr>
            </w:div>
            <w:div w:id="209539630">
              <w:marLeft w:val="0"/>
              <w:marRight w:val="0"/>
              <w:marTop w:val="0"/>
              <w:marBottom w:val="192"/>
              <w:divBdr>
                <w:top w:val="none" w:sz="0" w:space="0" w:color="auto"/>
                <w:left w:val="none" w:sz="0" w:space="0" w:color="auto"/>
                <w:bottom w:val="none" w:sz="0" w:space="0" w:color="auto"/>
                <w:right w:val="none" w:sz="0" w:space="0" w:color="auto"/>
              </w:divBdr>
            </w:div>
            <w:div w:id="1198927737">
              <w:marLeft w:val="0"/>
              <w:marRight w:val="0"/>
              <w:marTop w:val="0"/>
              <w:marBottom w:val="192"/>
              <w:divBdr>
                <w:top w:val="none" w:sz="0" w:space="0" w:color="auto"/>
                <w:left w:val="none" w:sz="0" w:space="0" w:color="auto"/>
                <w:bottom w:val="none" w:sz="0" w:space="0" w:color="auto"/>
                <w:right w:val="none" w:sz="0" w:space="0" w:color="auto"/>
              </w:divBdr>
            </w:div>
            <w:div w:id="1301111629">
              <w:marLeft w:val="0"/>
              <w:marRight w:val="0"/>
              <w:marTop w:val="0"/>
              <w:marBottom w:val="192"/>
              <w:divBdr>
                <w:top w:val="none" w:sz="0" w:space="0" w:color="auto"/>
                <w:left w:val="none" w:sz="0" w:space="0" w:color="auto"/>
                <w:bottom w:val="none" w:sz="0" w:space="0" w:color="auto"/>
                <w:right w:val="none" w:sz="0" w:space="0" w:color="auto"/>
              </w:divBdr>
            </w:div>
            <w:div w:id="1598907607">
              <w:marLeft w:val="0"/>
              <w:marRight w:val="0"/>
              <w:marTop w:val="0"/>
              <w:marBottom w:val="192"/>
              <w:divBdr>
                <w:top w:val="none" w:sz="0" w:space="0" w:color="auto"/>
                <w:left w:val="none" w:sz="0" w:space="0" w:color="auto"/>
                <w:bottom w:val="none" w:sz="0" w:space="0" w:color="auto"/>
                <w:right w:val="none" w:sz="0" w:space="0" w:color="auto"/>
              </w:divBdr>
            </w:div>
            <w:div w:id="156383586">
              <w:marLeft w:val="0"/>
              <w:marRight w:val="0"/>
              <w:marTop w:val="0"/>
              <w:marBottom w:val="192"/>
              <w:divBdr>
                <w:top w:val="none" w:sz="0" w:space="0" w:color="auto"/>
                <w:left w:val="none" w:sz="0" w:space="0" w:color="auto"/>
                <w:bottom w:val="none" w:sz="0" w:space="0" w:color="auto"/>
                <w:right w:val="none" w:sz="0" w:space="0" w:color="auto"/>
              </w:divBdr>
            </w:div>
            <w:div w:id="247886573">
              <w:marLeft w:val="0"/>
              <w:marRight w:val="0"/>
              <w:marTop w:val="0"/>
              <w:marBottom w:val="0"/>
              <w:divBdr>
                <w:top w:val="none" w:sz="0" w:space="0" w:color="auto"/>
                <w:left w:val="none" w:sz="0" w:space="0" w:color="auto"/>
                <w:bottom w:val="none" w:sz="0" w:space="0" w:color="auto"/>
                <w:right w:val="none" w:sz="0" w:space="0" w:color="auto"/>
              </w:divBdr>
            </w:div>
          </w:divsChild>
        </w:div>
        <w:div w:id="941300762">
          <w:marLeft w:val="0"/>
          <w:marRight w:val="0"/>
          <w:marTop w:val="0"/>
          <w:marBottom w:val="0"/>
          <w:divBdr>
            <w:top w:val="none" w:sz="0" w:space="0" w:color="auto"/>
            <w:left w:val="none" w:sz="0" w:space="0" w:color="auto"/>
            <w:bottom w:val="none" w:sz="0" w:space="0" w:color="auto"/>
            <w:right w:val="none" w:sz="0" w:space="0" w:color="auto"/>
          </w:divBdr>
          <w:divsChild>
            <w:div w:id="2017688987">
              <w:marLeft w:val="0"/>
              <w:marRight w:val="0"/>
              <w:marTop w:val="0"/>
              <w:marBottom w:val="480"/>
              <w:divBdr>
                <w:top w:val="none" w:sz="0" w:space="0" w:color="auto"/>
                <w:left w:val="none" w:sz="0" w:space="0" w:color="auto"/>
                <w:bottom w:val="none" w:sz="0" w:space="0" w:color="auto"/>
                <w:right w:val="none" w:sz="0" w:space="0" w:color="auto"/>
              </w:divBdr>
            </w:div>
            <w:div w:id="2115322202">
              <w:marLeft w:val="0"/>
              <w:marRight w:val="0"/>
              <w:marTop w:val="0"/>
              <w:marBottom w:val="0"/>
              <w:divBdr>
                <w:top w:val="none" w:sz="0" w:space="0" w:color="auto"/>
                <w:left w:val="none" w:sz="0" w:space="0" w:color="auto"/>
                <w:bottom w:val="none" w:sz="0" w:space="0" w:color="auto"/>
                <w:right w:val="none" w:sz="0" w:space="0" w:color="auto"/>
              </w:divBdr>
              <w:divsChild>
                <w:div w:id="1669137692">
                  <w:marLeft w:val="0"/>
                  <w:marRight w:val="0"/>
                  <w:marTop w:val="0"/>
                  <w:marBottom w:val="240"/>
                  <w:divBdr>
                    <w:top w:val="none" w:sz="0" w:space="0" w:color="auto"/>
                    <w:left w:val="none" w:sz="0" w:space="0" w:color="auto"/>
                    <w:bottom w:val="none" w:sz="0" w:space="0" w:color="auto"/>
                    <w:right w:val="none" w:sz="0" w:space="0" w:color="auto"/>
                  </w:divBdr>
                  <w:divsChild>
                    <w:div w:id="1715537613">
                      <w:marLeft w:val="0"/>
                      <w:marRight w:val="0"/>
                      <w:marTop w:val="0"/>
                      <w:marBottom w:val="0"/>
                      <w:divBdr>
                        <w:top w:val="none" w:sz="0" w:space="0" w:color="auto"/>
                        <w:left w:val="none" w:sz="0" w:space="0" w:color="auto"/>
                        <w:bottom w:val="none" w:sz="0" w:space="0" w:color="auto"/>
                        <w:right w:val="none" w:sz="0" w:space="0" w:color="auto"/>
                      </w:divBdr>
                      <w:divsChild>
                        <w:div w:id="1421683218">
                          <w:marLeft w:val="0"/>
                          <w:marRight w:val="0"/>
                          <w:marTop w:val="0"/>
                          <w:marBottom w:val="0"/>
                          <w:divBdr>
                            <w:top w:val="single" w:sz="18" w:space="6" w:color="E1E9EB"/>
                            <w:left w:val="none" w:sz="0" w:space="0" w:color="auto"/>
                            <w:bottom w:val="none" w:sz="0" w:space="0" w:color="auto"/>
                            <w:right w:val="none" w:sz="0" w:space="0" w:color="auto"/>
                          </w:divBdr>
                        </w:div>
                        <w:div w:id="663775683">
                          <w:marLeft w:val="0"/>
                          <w:marRight w:val="0"/>
                          <w:marTop w:val="120"/>
                          <w:marBottom w:val="0"/>
                          <w:divBdr>
                            <w:top w:val="none" w:sz="0" w:space="0" w:color="auto"/>
                            <w:left w:val="none" w:sz="0" w:space="0" w:color="auto"/>
                            <w:bottom w:val="none" w:sz="0" w:space="0" w:color="auto"/>
                            <w:right w:val="none" w:sz="0" w:space="0" w:color="auto"/>
                          </w:divBdr>
                        </w:div>
                        <w:div w:id="738938534">
                          <w:marLeft w:val="240"/>
                          <w:marRight w:val="0"/>
                          <w:marTop w:val="288"/>
                          <w:marBottom w:val="0"/>
                          <w:divBdr>
                            <w:top w:val="single" w:sz="18" w:space="6" w:color="E1E9EB"/>
                            <w:left w:val="none" w:sz="0" w:space="0" w:color="auto"/>
                            <w:bottom w:val="none" w:sz="0" w:space="0" w:color="auto"/>
                            <w:right w:val="none" w:sz="0" w:space="0" w:color="auto"/>
                          </w:divBdr>
                          <w:divsChild>
                            <w:div w:id="1248539107">
                              <w:marLeft w:val="0"/>
                              <w:marRight w:val="240"/>
                              <w:marTop w:val="120"/>
                              <w:marBottom w:val="0"/>
                              <w:divBdr>
                                <w:top w:val="none" w:sz="0" w:space="0" w:color="auto"/>
                                <w:left w:val="none" w:sz="0" w:space="0" w:color="auto"/>
                                <w:bottom w:val="none" w:sz="0" w:space="0" w:color="auto"/>
                                <w:right w:val="none" w:sz="0" w:space="0" w:color="auto"/>
                              </w:divBdr>
                              <w:divsChild>
                                <w:div w:id="370148774">
                                  <w:marLeft w:val="75"/>
                                  <w:marRight w:val="0"/>
                                  <w:marTop w:val="75"/>
                                  <w:marBottom w:val="360"/>
                                  <w:divBdr>
                                    <w:top w:val="none" w:sz="0" w:space="0" w:color="auto"/>
                                    <w:left w:val="none" w:sz="0" w:space="0" w:color="auto"/>
                                    <w:bottom w:val="none" w:sz="0" w:space="0" w:color="auto"/>
                                    <w:right w:val="none" w:sz="0" w:space="0" w:color="auto"/>
                                  </w:divBdr>
                                </w:div>
                              </w:divsChild>
                            </w:div>
                            <w:div w:id="1567179872">
                              <w:marLeft w:val="0"/>
                              <w:marRight w:val="0"/>
                              <w:marTop w:val="120"/>
                              <w:marBottom w:val="0"/>
                              <w:divBdr>
                                <w:top w:val="none" w:sz="0" w:space="0" w:color="auto"/>
                                <w:left w:val="none" w:sz="0" w:space="0" w:color="auto"/>
                                <w:bottom w:val="none" w:sz="0" w:space="0" w:color="auto"/>
                                <w:right w:val="none" w:sz="0" w:space="0" w:color="auto"/>
                              </w:divBdr>
                              <w:divsChild>
                                <w:div w:id="17262925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1441">
      <w:bodyDiv w:val="1"/>
      <w:marLeft w:val="0"/>
      <w:marRight w:val="0"/>
      <w:marTop w:val="0"/>
      <w:marBottom w:val="0"/>
      <w:divBdr>
        <w:top w:val="none" w:sz="0" w:space="0" w:color="auto"/>
        <w:left w:val="none" w:sz="0" w:space="0" w:color="auto"/>
        <w:bottom w:val="none" w:sz="0" w:space="0" w:color="auto"/>
        <w:right w:val="none" w:sz="0" w:space="0" w:color="auto"/>
      </w:divBdr>
    </w:div>
    <w:div w:id="1250850482">
      <w:bodyDiv w:val="1"/>
      <w:marLeft w:val="0"/>
      <w:marRight w:val="0"/>
      <w:marTop w:val="0"/>
      <w:marBottom w:val="0"/>
      <w:divBdr>
        <w:top w:val="none" w:sz="0" w:space="0" w:color="auto"/>
        <w:left w:val="none" w:sz="0" w:space="0" w:color="auto"/>
        <w:bottom w:val="none" w:sz="0" w:space="0" w:color="auto"/>
        <w:right w:val="none" w:sz="0" w:space="0" w:color="auto"/>
      </w:divBdr>
      <w:divsChild>
        <w:div w:id="990214284">
          <w:marLeft w:val="0"/>
          <w:marRight w:val="0"/>
          <w:marTop w:val="0"/>
          <w:marBottom w:val="0"/>
          <w:divBdr>
            <w:top w:val="none" w:sz="0" w:space="0" w:color="auto"/>
            <w:left w:val="none" w:sz="0" w:space="0" w:color="auto"/>
            <w:bottom w:val="none" w:sz="0" w:space="0" w:color="auto"/>
            <w:right w:val="none" w:sz="0" w:space="0" w:color="auto"/>
          </w:divBdr>
        </w:div>
      </w:divsChild>
    </w:div>
    <w:div w:id="1300763743">
      <w:bodyDiv w:val="1"/>
      <w:marLeft w:val="0"/>
      <w:marRight w:val="0"/>
      <w:marTop w:val="0"/>
      <w:marBottom w:val="0"/>
      <w:divBdr>
        <w:top w:val="none" w:sz="0" w:space="0" w:color="auto"/>
        <w:left w:val="none" w:sz="0" w:space="0" w:color="auto"/>
        <w:bottom w:val="none" w:sz="0" w:space="0" w:color="auto"/>
        <w:right w:val="none" w:sz="0" w:space="0" w:color="auto"/>
      </w:divBdr>
    </w:div>
    <w:div w:id="207319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DE84E06DF489479EE48F7E036C4770" ma:contentTypeVersion="0" ma:contentTypeDescription="Create a new document." ma:contentTypeScope="" ma:versionID="d9ee0d90e5726d4dc8b404ce3c86cac9">
  <xsd:schema xmlns:xsd="http://www.w3.org/2001/XMLSchema" xmlns:xs="http://www.w3.org/2001/XMLSchema" xmlns:p="http://schemas.microsoft.com/office/2006/metadata/properties" targetNamespace="http://schemas.microsoft.com/office/2006/metadata/properties" ma:root="true" ma:fieldsID="7d8101d8cb466f5dbb436ffb69175d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2C489-2424-4D9C-AD0B-0B510F19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3B9824-6F92-430C-8416-879A90FD6113}">
  <ds:schemaRefs>
    <ds:schemaRef ds:uri="http://schemas.microsoft.com/sharepoint/v3/contenttype/forms"/>
  </ds:schemaRefs>
</ds:datastoreItem>
</file>

<file path=customXml/itemProps3.xml><?xml version="1.0" encoding="utf-8"?>
<ds:datastoreItem xmlns:ds="http://schemas.openxmlformats.org/officeDocument/2006/customXml" ds:itemID="{227C93FB-AECA-413D-8033-E6DCBB7CD7DF}">
  <ds:schemaRef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6BD5BC94-518B-4804-AB71-08AE3BB4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5130</Words>
  <Characters>29241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Hale</dc:creator>
  <cp:lastModifiedBy>Ben Wilson</cp:lastModifiedBy>
  <cp:revision>4</cp:revision>
  <cp:lastPrinted>2015-11-09T11:01:00Z</cp:lastPrinted>
  <dcterms:created xsi:type="dcterms:W3CDTF">2015-11-24T07:53:00Z</dcterms:created>
  <dcterms:modified xsi:type="dcterms:W3CDTF">2015-11-24T08:17:00Z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0x0101005FDE84E06DF489479EE48F7E036C4770</vt:lpwstr>
  </property>
  <property fmtid="{D5CDD505-2E9C-101B-9397-08002B2CF9AE}" pid="3" name="IsMyDocuments">
    <vt:bool>true</vt:bool>
  </property>
</Properties>
</file>